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283"/>
        <w:gridCol w:w="1480"/>
        <w:gridCol w:w="3271"/>
      </w:tblGrid>
      <w:tr w:rsidR="009F1550" w:rsidRPr="009F1550" w14:paraId="42488BEF" w14:textId="77777777" w:rsidTr="009904BB">
        <w:trPr>
          <w:trHeight w:val="572"/>
        </w:trPr>
        <w:tc>
          <w:tcPr>
            <w:tcW w:w="5283" w:type="dxa"/>
            <w:shd w:val="clear" w:color="auto" w:fill="045E63"/>
          </w:tcPr>
          <w:p w14:paraId="6D012821" w14:textId="3F737905" w:rsidR="004476DD" w:rsidRPr="009F1550" w:rsidRDefault="006738EA" w:rsidP="009904BB">
            <w:pPr>
              <w:pStyle w:val="Header"/>
              <w:tabs>
                <w:tab w:val="clear" w:pos="8640"/>
                <w:tab w:val="left" w:pos="5898"/>
                <w:tab w:val="right" w:pos="5931"/>
              </w:tabs>
              <w:rPr>
                <w:b/>
                <w:color w:val="FFFFFF" w:themeColor="background1"/>
                <w:sz w:val="64"/>
                <w:szCs w:val="64"/>
              </w:rPr>
            </w:pPr>
            <w:r w:rsidRPr="009F1550">
              <w:rPr>
                <w:rFonts w:ascii="Arial" w:hAnsi="Arial"/>
                <w:b/>
                <w:color w:val="FFFFFF" w:themeColor="background1"/>
                <w:sz w:val="64"/>
                <w:szCs w:val="64"/>
              </w:rPr>
              <w:t>New</w:t>
            </w:r>
            <w:r w:rsidR="004476DD" w:rsidRPr="009F1550">
              <w:rPr>
                <w:rFonts w:ascii="Arial" w:hAnsi="Arial"/>
                <w:b/>
                <w:color w:val="FFFFFF" w:themeColor="background1"/>
                <w:sz w:val="64"/>
                <w:szCs w:val="64"/>
              </w:rPr>
              <w:t>s Release</w:t>
            </w:r>
          </w:p>
        </w:tc>
        <w:tc>
          <w:tcPr>
            <w:tcW w:w="1480" w:type="dxa"/>
            <w:vMerge w:val="restart"/>
          </w:tcPr>
          <w:p w14:paraId="606D5C25" w14:textId="7976BE3C" w:rsidR="004476DD" w:rsidRPr="009F1550" w:rsidRDefault="004476DD" w:rsidP="0013308E">
            <w:pPr>
              <w:pStyle w:val="Header"/>
            </w:pPr>
          </w:p>
        </w:tc>
        <w:tc>
          <w:tcPr>
            <w:tcW w:w="3271" w:type="dxa"/>
            <w:vMerge w:val="restart"/>
          </w:tcPr>
          <w:p w14:paraId="5E74CF7B" w14:textId="5B6D0100" w:rsidR="004476DD" w:rsidRPr="009F1550" w:rsidRDefault="009904BB" w:rsidP="0013308E">
            <w:pPr>
              <w:pStyle w:val="Header"/>
            </w:pPr>
            <w:r w:rsidRPr="009F1550">
              <w:rPr>
                <w:rFonts w:ascii="Arial" w:hAnsi="Arial" w:cs="Arial"/>
                <w:noProof/>
                <w:lang w:eastAsia="en-GB"/>
              </w:rPr>
              <w:drawing>
                <wp:anchor distT="0" distB="0" distL="114300" distR="114300" simplePos="0" relativeHeight="251658240" behindDoc="0" locked="0" layoutInCell="1" allowOverlap="1" wp14:anchorId="22D0BA11" wp14:editId="51FDD390">
                  <wp:simplePos x="0" y="0"/>
                  <wp:positionH relativeFrom="page">
                    <wp:posOffset>-133944</wp:posOffset>
                  </wp:positionH>
                  <wp:positionV relativeFrom="page">
                    <wp:posOffset>6350</wp:posOffset>
                  </wp:positionV>
                  <wp:extent cx="1493520" cy="12446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DC-LOGO-2018-Portrait-Colour-RGB.pn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493520" cy="1244600"/>
                          </a:xfrm>
                          <a:prstGeom prst="rect">
                            <a:avLst/>
                          </a:prstGeom>
                        </pic:spPr>
                      </pic:pic>
                    </a:graphicData>
                  </a:graphic>
                  <wp14:sizeRelH relativeFrom="page">
                    <wp14:pctWidth>0</wp14:pctWidth>
                  </wp14:sizeRelH>
                  <wp14:sizeRelV relativeFrom="page">
                    <wp14:pctHeight>0</wp14:pctHeight>
                  </wp14:sizeRelV>
                </wp:anchor>
              </w:drawing>
            </w:r>
          </w:p>
        </w:tc>
      </w:tr>
      <w:tr w:rsidR="009F1550" w:rsidRPr="009F1550" w14:paraId="568C4EE8" w14:textId="77777777" w:rsidTr="009904BB">
        <w:trPr>
          <w:trHeight w:val="480"/>
        </w:trPr>
        <w:tc>
          <w:tcPr>
            <w:tcW w:w="5283" w:type="dxa"/>
            <w:shd w:val="clear" w:color="auto" w:fill="ED6C1F"/>
            <w:vAlign w:val="center"/>
          </w:tcPr>
          <w:p w14:paraId="742D1907" w14:textId="19C358A1" w:rsidR="004476DD" w:rsidRPr="009F1550" w:rsidRDefault="00F70662" w:rsidP="0013308E">
            <w:pPr>
              <w:pStyle w:val="Header"/>
              <w:rPr>
                <w:rFonts w:ascii="Arial Bold" w:hAnsi="Arial Bold"/>
                <w:b/>
                <w:color w:val="FFFFFF" w:themeColor="background1"/>
                <w:sz w:val="28"/>
              </w:rPr>
            </w:pPr>
            <w:r w:rsidRPr="009F1550">
              <w:rPr>
                <w:rFonts w:ascii="Arial Bold" w:hAnsi="Arial Bold"/>
                <w:b/>
                <w:color w:val="FFFFFF" w:themeColor="background1"/>
                <w:sz w:val="28"/>
              </w:rPr>
              <w:fldChar w:fldCharType="begin"/>
            </w:r>
            <w:r w:rsidRPr="009F1550">
              <w:rPr>
                <w:rFonts w:ascii="Arial Bold" w:hAnsi="Arial Bold"/>
                <w:b/>
                <w:color w:val="FFFFFF" w:themeColor="background1"/>
                <w:sz w:val="28"/>
              </w:rPr>
              <w:instrText xml:space="preserve"> TIME  \@ "dd/MM/yy"  \* MERGEFORMAT </w:instrText>
            </w:r>
            <w:r w:rsidRPr="009F1550">
              <w:rPr>
                <w:rFonts w:ascii="Arial Bold" w:hAnsi="Arial Bold"/>
                <w:b/>
                <w:color w:val="FFFFFF" w:themeColor="background1"/>
                <w:sz w:val="28"/>
              </w:rPr>
              <w:fldChar w:fldCharType="separate"/>
            </w:r>
            <w:r w:rsidR="003F149A">
              <w:rPr>
                <w:rFonts w:ascii="Arial Bold" w:hAnsi="Arial Bold"/>
                <w:b/>
                <w:noProof/>
                <w:color w:val="FFFFFF" w:themeColor="background1"/>
                <w:sz w:val="28"/>
              </w:rPr>
              <w:t>13/05/21</w:t>
            </w:r>
            <w:r w:rsidRPr="009F1550">
              <w:rPr>
                <w:rFonts w:ascii="Arial Bold" w:hAnsi="Arial Bold"/>
                <w:b/>
                <w:color w:val="FFFFFF" w:themeColor="background1"/>
                <w:sz w:val="28"/>
              </w:rPr>
              <w:fldChar w:fldCharType="end"/>
            </w:r>
          </w:p>
        </w:tc>
        <w:tc>
          <w:tcPr>
            <w:tcW w:w="1480" w:type="dxa"/>
            <w:vMerge/>
          </w:tcPr>
          <w:p w14:paraId="01260D25" w14:textId="77777777" w:rsidR="004476DD" w:rsidRPr="009F1550" w:rsidRDefault="004476DD" w:rsidP="0013308E">
            <w:pPr>
              <w:pStyle w:val="Header"/>
            </w:pPr>
          </w:p>
        </w:tc>
        <w:tc>
          <w:tcPr>
            <w:tcW w:w="3271" w:type="dxa"/>
            <w:vMerge/>
          </w:tcPr>
          <w:p w14:paraId="2BD2F1A0" w14:textId="77777777" w:rsidR="004476DD" w:rsidRPr="009F1550" w:rsidRDefault="004476DD" w:rsidP="0013308E">
            <w:pPr>
              <w:pStyle w:val="Header"/>
            </w:pPr>
          </w:p>
        </w:tc>
      </w:tr>
      <w:tr w:rsidR="009F1550" w:rsidRPr="009F1550" w14:paraId="7CFF6255" w14:textId="77777777" w:rsidTr="009904BB">
        <w:trPr>
          <w:trHeight w:val="1120"/>
        </w:trPr>
        <w:tc>
          <w:tcPr>
            <w:tcW w:w="5283" w:type="dxa"/>
            <w:shd w:val="clear" w:color="auto" w:fill="auto"/>
            <w:vAlign w:val="center"/>
          </w:tcPr>
          <w:p w14:paraId="5FBC0012" w14:textId="010AB06D" w:rsidR="004476DD" w:rsidRPr="009F1550" w:rsidRDefault="004476DD" w:rsidP="009904BB">
            <w:pPr>
              <w:pStyle w:val="Header"/>
              <w:ind w:left="29" w:hanging="142"/>
              <w:rPr>
                <w:rFonts w:ascii="Arial" w:hAnsi="Arial"/>
                <w:sz w:val="18"/>
                <w:szCs w:val="18"/>
              </w:rPr>
            </w:pPr>
            <w:r w:rsidRPr="009F1550">
              <w:rPr>
                <w:rFonts w:ascii="Arial" w:hAnsi="Arial"/>
                <w:sz w:val="18"/>
                <w:szCs w:val="18"/>
              </w:rPr>
              <w:t xml:space="preserve">North </w:t>
            </w:r>
            <w:proofErr w:type="spellStart"/>
            <w:r w:rsidRPr="009F1550">
              <w:rPr>
                <w:rFonts w:ascii="Arial" w:hAnsi="Arial"/>
                <w:sz w:val="18"/>
                <w:szCs w:val="18"/>
              </w:rPr>
              <w:t>Kesteven</w:t>
            </w:r>
            <w:proofErr w:type="spellEnd"/>
            <w:r w:rsidRPr="009F1550">
              <w:rPr>
                <w:rFonts w:ascii="Arial" w:hAnsi="Arial"/>
                <w:sz w:val="18"/>
                <w:szCs w:val="18"/>
              </w:rPr>
              <w:t xml:space="preserve"> District Council, District Council Offices, </w:t>
            </w:r>
          </w:p>
          <w:p w14:paraId="4A5B9658" w14:textId="6B85CC63" w:rsidR="004476DD" w:rsidRPr="009F1550" w:rsidRDefault="004476DD" w:rsidP="009904BB">
            <w:pPr>
              <w:pStyle w:val="Header"/>
              <w:ind w:left="29" w:hanging="142"/>
              <w:rPr>
                <w:rFonts w:ascii="Arial" w:hAnsi="Arial"/>
                <w:sz w:val="18"/>
                <w:szCs w:val="18"/>
              </w:rPr>
            </w:pPr>
            <w:proofErr w:type="spellStart"/>
            <w:r w:rsidRPr="009F1550">
              <w:rPr>
                <w:rFonts w:ascii="Arial" w:hAnsi="Arial"/>
                <w:sz w:val="18"/>
                <w:szCs w:val="18"/>
              </w:rPr>
              <w:t>Kesteven</w:t>
            </w:r>
            <w:proofErr w:type="spellEnd"/>
            <w:r w:rsidRPr="009F1550">
              <w:rPr>
                <w:rFonts w:ascii="Arial" w:hAnsi="Arial"/>
                <w:sz w:val="18"/>
                <w:szCs w:val="18"/>
              </w:rPr>
              <w:t xml:space="preserve"> Street, Sleaford, Lincolnshire, NG34 7EF</w:t>
            </w:r>
          </w:p>
          <w:p w14:paraId="3A4D657E" w14:textId="650241F4" w:rsidR="004476DD" w:rsidRPr="009F1550" w:rsidRDefault="004476DD" w:rsidP="009904BB">
            <w:pPr>
              <w:pStyle w:val="Header"/>
              <w:ind w:left="29" w:hanging="142"/>
              <w:rPr>
                <w:rFonts w:ascii="Arial" w:hAnsi="Arial"/>
                <w:b/>
                <w:sz w:val="18"/>
                <w:szCs w:val="18"/>
              </w:rPr>
            </w:pPr>
            <w:r w:rsidRPr="009F1550">
              <w:rPr>
                <w:rFonts w:ascii="Arial" w:hAnsi="Arial"/>
                <w:b/>
                <w:sz w:val="18"/>
                <w:szCs w:val="18"/>
              </w:rPr>
              <w:t>www.n-kesteven.gov.uk</w:t>
            </w:r>
          </w:p>
          <w:p w14:paraId="463B6C76" w14:textId="77777777" w:rsidR="004476DD" w:rsidRPr="009F1550" w:rsidRDefault="004476DD" w:rsidP="0013308E">
            <w:pPr>
              <w:pStyle w:val="Header"/>
              <w:rPr>
                <w:b/>
                <w:sz w:val="16"/>
              </w:rPr>
            </w:pPr>
          </w:p>
        </w:tc>
        <w:tc>
          <w:tcPr>
            <w:tcW w:w="1480" w:type="dxa"/>
            <w:vMerge/>
          </w:tcPr>
          <w:p w14:paraId="70BCD4F7" w14:textId="77777777" w:rsidR="004476DD" w:rsidRPr="009F1550" w:rsidRDefault="004476DD" w:rsidP="0013308E">
            <w:pPr>
              <w:pStyle w:val="Header"/>
            </w:pPr>
          </w:p>
        </w:tc>
        <w:tc>
          <w:tcPr>
            <w:tcW w:w="3271" w:type="dxa"/>
            <w:vMerge/>
          </w:tcPr>
          <w:p w14:paraId="1742E95D" w14:textId="77777777" w:rsidR="004476DD" w:rsidRPr="009F1550" w:rsidRDefault="004476DD" w:rsidP="0013308E">
            <w:pPr>
              <w:pStyle w:val="Header"/>
            </w:pPr>
          </w:p>
        </w:tc>
      </w:tr>
    </w:tbl>
    <w:p w14:paraId="0B6E64C5" w14:textId="690A9D93" w:rsidR="00DD2D47" w:rsidRPr="009F1550" w:rsidRDefault="009F1550" w:rsidP="001E177B">
      <w:pPr>
        <w:jc w:val="center"/>
        <w:rPr>
          <w:rFonts w:ascii="Arial" w:hAnsi="Arial" w:cs="Arial"/>
          <w:b/>
          <w:sz w:val="32"/>
          <w:szCs w:val="32"/>
        </w:rPr>
      </w:pPr>
      <w:r>
        <w:rPr>
          <w:rFonts w:ascii="Arial" w:hAnsi="Arial" w:cs="Arial"/>
          <w:b/>
          <w:sz w:val="32"/>
          <w:szCs w:val="32"/>
        </w:rPr>
        <w:t>Contractors urged to show interest now in Sleaford Moor Enterprise Park works</w:t>
      </w:r>
    </w:p>
    <w:p w14:paraId="37ED82C4" w14:textId="16C4F8FB" w:rsidR="00DF0C94" w:rsidRPr="009F1550" w:rsidRDefault="00DF0C94" w:rsidP="001E177B">
      <w:pPr>
        <w:jc w:val="center"/>
        <w:rPr>
          <w:rFonts w:ascii="Arial" w:hAnsi="Arial" w:cs="Arial"/>
          <w:b/>
          <w:sz w:val="32"/>
          <w:szCs w:val="32"/>
        </w:rPr>
      </w:pPr>
    </w:p>
    <w:p w14:paraId="44843D77" w14:textId="77777777" w:rsidR="009F1550" w:rsidRPr="009F1550" w:rsidRDefault="009F1550" w:rsidP="009F1550">
      <w:pPr>
        <w:spacing w:after="240"/>
        <w:rPr>
          <w:rFonts w:ascii="Arial" w:hAnsi="Arial" w:cs="Arial"/>
          <w:sz w:val="22"/>
          <w:szCs w:val="22"/>
        </w:rPr>
      </w:pPr>
      <w:r w:rsidRPr="009F1550">
        <w:rPr>
          <w:rFonts w:ascii="Arial" w:hAnsi="Arial" w:cs="Arial"/>
        </w:rPr>
        <w:t xml:space="preserve">Build and construction contractors who might wish to submit a tender for main strategic infrastructure and construction works at Sleaford’s £56 million eco-conscious business park should take action now. </w:t>
      </w:r>
    </w:p>
    <w:p w14:paraId="2036E9C1" w14:textId="25738D14" w:rsidR="009F1550" w:rsidRPr="009F1550" w:rsidRDefault="009F1550" w:rsidP="009F1550">
      <w:pPr>
        <w:spacing w:after="240"/>
        <w:rPr>
          <w:rFonts w:ascii="Arial" w:hAnsi="Arial" w:cs="Arial"/>
        </w:rPr>
      </w:pPr>
      <w:r w:rsidRPr="009F1550">
        <w:rPr>
          <w:rFonts w:ascii="Arial" w:hAnsi="Arial" w:cs="Arial"/>
        </w:rPr>
        <w:t xml:space="preserve">North </w:t>
      </w:r>
      <w:proofErr w:type="spellStart"/>
      <w:r w:rsidRPr="009F1550">
        <w:rPr>
          <w:rFonts w:ascii="Arial" w:hAnsi="Arial" w:cs="Arial"/>
        </w:rPr>
        <w:t>Kesteven</w:t>
      </w:r>
      <w:proofErr w:type="spellEnd"/>
      <w:r w:rsidRPr="009F1550">
        <w:rPr>
          <w:rFonts w:ascii="Arial" w:hAnsi="Arial" w:cs="Arial"/>
        </w:rPr>
        <w:t xml:space="preserve"> District Council is urging </w:t>
      </w:r>
      <w:proofErr w:type="gramStart"/>
      <w:r w:rsidRPr="009F1550">
        <w:rPr>
          <w:rFonts w:ascii="Arial" w:hAnsi="Arial" w:cs="Arial"/>
        </w:rPr>
        <w:t>businesses which</w:t>
      </w:r>
      <w:proofErr w:type="gramEnd"/>
      <w:r w:rsidRPr="009F1550">
        <w:rPr>
          <w:rFonts w:ascii="Arial" w:hAnsi="Arial" w:cs="Arial"/>
        </w:rPr>
        <w:t xml:space="preserve"> could be interested in the major works for the site including the civils, spine road construction and delivery of phase one of units to join the Dynamic Purchasing System (DPS) for these, so they don’t miss the chance to potentially tender later. </w:t>
      </w:r>
    </w:p>
    <w:p w14:paraId="7CCF6C28" w14:textId="77777777" w:rsidR="009F1550" w:rsidRDefault="009F1550" w:rsidP="009F1550">
      <w:pPr>
        <w:spacing w:after="240"/>
        <w:rPr>
          <w:rFonts w:ascii="Arial" w:hAnsi="Arial" w:cs="Arial"/>
        </w:rPr>
      </w:pPr>
      <w:r w:rsidRPr="009F1550">
        <w:rPr>
          <w:rFonts w:ascii="Arial" w:hAnsi="Arial" w:cs="Arial"/>
        </w:rPr>
        <w:t xml:space="preserve">A main contractor is required for these main infrastructure and construction works, and this main contractor </w:t>
      </w:r>
      <w:proofErr w:type="gramStart"/>
      <w:r w:rsidRPr="009F1550">
        <w:rPr>
          <w:rFonts w:ascii="Arial" w:hAnsi="Arial" w:cs="Arial"/>
        </w:rPr>
        <w:t>must also</w:t>
      </w:r>
      <w:proofErr w:type="gramEnd"/>
      <w:r w:rsidRPr="009F1550">
        <w:rPr>
          <w:rFonts w:ascii="Arial" w:hAnsi="Arial" w:cs="Arial"/>
        </w:rPr>
        <w:t xml:space="preserve"> offer sub-contractor opportunities. </w:t>
      </w:r>
    </w:p>
    <w:p w14:paraId="75B25DB0" w14:textId="04E2687E" w:rsidR="009F1550" w:rsidRPr="009F1550" w:rsidRDefault="009F1550" w:rsidP="009F1550">
      <w:pPr>
        <w:spacing w:after="240"/>
        <w:rPr>
          <w:rFonts w:ascii="Arial" w:hAnsi="Arial" w:cs="Arial"/>
        </w:rPr>
      </w:pPr>
      <w:r w:rsidRPr="009F1550">
        <w:rPr>
          <w:rFonts w:ascii="Arial" w:hAnsi="Arial" w:cs="Arial"/>
        </w:rPr>
        <w:t>The total expected value of these main infrastructure and construction works is to be circa £12 million. There will be further opportunities available as the project progresses so do watch this space.</w:t>
      </w:r>
    </w:p>
    <w:p w14:paraId="56C11B34" w14:textId="20949312" w:rsidR="009F1550" w:rsidRP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t xml:space="preserve">Sleaford Moor Enterprise Park is a 37-acre eco-conscious business development </w:t>
      </w:r>
      <w:proofErr w:type="gramStart"/>
      <w:r w:rsidRPr="009F1550">
        <w:rPr>
          <w:rFonts w:ascii="Arial" w:hAnsi="Arial" w:cs="Arial"/>
          <w:lang w:eastAsia="en-US"/>
        </w:rPr>
        <w:t>being brought</w:t>
      </w:r>
      <w:proofErr w:type="gramEnd"/>
      <w:r w:rsidRPr="009F1550">
        <w:rPr>
          <w:rFonts w:ascii="Arial" w:hAnsi="Arial" w:cs="Arial"/>
          <w:lang w:eastAsia="en-US"/>
        </w:rPr>
        <w:t xml:space="preserve"> forward by </w:t>
      </w:r>
      <w:r w:rsidRPr="009F1550">
        <w:rPr>
          <w:rFonts w:ascii="Arial" w:hAnsi="Arial" w:cs="Arial"/>
        </w:rPr>
        <w:t xml:space="preserve">North </w:t>
      </w:r>
      <w:proofErr w:type="spellStart"/>
      <w:r w:rsidRPr="009F1550">
        <w:rPr>
          <w:rFonts w:ascii="Arial" w:hAnsi="Arial" w:cs="Arial"/>
        </w:rPr>
        <w:t>Kesteven</w:t>
      </w:r>
      <w:proofErr w:type="spellEnd"/>
      <w:r w:rsidRPr="009F1550">
        <w:rPr>
          <w:rFonts w:ascii="Arial" w:hAnsi="Arial" w:cs="Arial"/>
        </w:rPr>
        <w:t xml:space="preserve"> District Council</w:t>
      </w:r>
      <w:r w:rsidRPr="009F1550">
        <w:rPr>
          <w:rFonts w:ascii="Arial" w:hAnsi="Arial" w:cs="Arial"/>
          <w:lang w:eastAsia="en-US"/>
        </w:rPr>
        <w:t xml:space="preserve">, </w:t>
      </w:r>
      <w:r>
        <w:rPr>
          <w:rFonts w:ascii="Arial" w:hAnsi="Arial" w:cs="Arial"/>
          <w:lang w:eastAsia="en-US"/>
        </w:rPr>
        <w:t xml:space="preserve">situated </w:t>
      </w:r>
      <w:r w:rsidRPr="009F1550">
        <w:rPr>
          <w:rFonts w:ascii="Arial" w:hAnsi="Arial" w:cs="Arial"/>
          <w:lang w:eastAsia="en-US"/>
        </w:rPr>
        <w:t>close to Pride Parkway in the town and visible from the roadside along the A17. It will unlock new business opportunities and bring up to 500 jobs for the local area through the creation of up to 37,245 m2 of floor space for new and expanding businesses.</w:t>
      </w:r>
    </w:p>
    <w:p w14:paraId="493D73E1" w14:textId="77777777" w:rsidR="009F1550" w:rsidRP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t xml:space="preserve">Infrastructure work for the Enterprise Park could start later this year following a </w:t>
      </w:r>
      <w:proofErr w:type="gramStart"/>
      <w:r w:rsidRPr="009F1550">
        <w:rPr>
          <w:rFonts w:ascii="Arial" w:hAnsi="Arial" w:cs="Arial"/>
          <w:lang w:eastAsia="en-US"/>
        </w:rPr>
        <w:t>tender</w:t>
      </w:r>
      <w:proofErr w:type="gramEnd"/>
      <w:r w:rsidRPr="009F1550">
        <w:rPr>
          <w:rFonts w:ascii="Arial" w:hAnsi="Arial" w:cs="Arial"/>
          <w:lang w:eastAsia="en-US"/>
        </w:rPr>
        <w:t xml:space="preserve"> process. A first phase will follow with subsequent build of units taking place through to 2027. </w:t>
      </w:r>
    </w:p>
    <w:p w14:paraId="55935E59" w14:textId="3FCEB70F" w:rsidR="009F1550" w:rsidRP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rPr>
        <w:t xml:space="preserve">North </w:t>
      </w:r>
      <w:proofErr w:type="spellStart"/>
      <w:r w:rsidRPr="009F1550">
        <w:rPr>
          <w:rFonts w:ascii="Arial" w:hAnsi="Arial" w:cs="Arial"/>
        </w:rPr>
        <w:t>Kesteven</w:t>
      </w:r>
      <w:proofErr w:type="spellEnd"/>
      <w:r w:rsidRPr="009F1550">
        <w:rPr>
          <w:rFonts w:ascii="Arial" w:hAnsi="Arial" w:cs="Arial"/>
        </w:rPr>
        <w:t xml:space="preserve"> District Council</w:t>
      </w:r>
      <w:r w:rsidRPr="009F1550">
        <w:rPr>
          <w:rFonts w:ascii="Arial" w:hAnsi="Arial" w:cs="Arial"/>
          <w:lang w:eastAsia="en-US"/>
        </w:rPr>
        <w:t xml:space="preserve"> Economy and Place Director Andy McDonough </w:t>
      </w:r>
      <w:proofErr w:type="gramStart"/>
      <w:r w:rsidRPr="009F1550">
        <w:rPr>
          <w:rFonts w:ascii="Arial" w:hAnsi="Arial" w:cs="Arial"/>
          <w:lang w:eastAsia="en-US"/>
        </w:rPr>
        <w:t>said:</w:t>
      </w:r>
      <w:proofErr w:type="gramEnd"/>
      <w:r w:rsidRPr="009F1550">
        <w:rPr>
          <w:rFonts w:ascii="Arial" w:hAnsi="Arial" w:cs="Arial"/>
          <w:lang w:eastAsia="en-US"/>
        </w:rPr>
        <w:t xml:space="preserve"> “We’re pleased to be moving forward with our Sleaf</w:t>
      </w:r>
      <w:r>
        <w:rPr>
          <w:rFonts w:ascii="Arial" w:hAnsi="Arial" w:cs="Arial"/>
          <w:lang w:eastAsia="en-US"/>
        </w:rPr>
        <w:t>ord Moor Enterprise Park. Gi</w:t>
      </w:r>
      <w:r w:rsidRPr="009F1550">
        <w:rPr>
          <w:rFonts w:ascii="Arial" w:hAnsi="Arial" w:cs="Arial"/>
          <w:lang w:eastAsia="en-US"/>
        </w:rPr>
        <w:t xml:space="preserve">ven that this £56 million scheme is all about growing our local economy and creating jobs in North </w:t>
      </w:r>
      <w:proofErr w:type="spellStart"/>
      <w:r w:rsidRPr="009F1550">
        <w:rPr>
          <w:rFonts w:ascii="Arial" w:hAnsi="Arial" w:cs="Arial"/>
          <w:lang w:eastAsia="en-US"/>
        </w:rPr>
        <w:t>Kesteven</w:t>
      </w:r>
      <w:proofErr w:type="spellEnd"/>
      <w:r w:rsidRPr="009F1550">
        <w:rPr>
          <w:rFonts w:ascii="Arial" w:hAnsi="Arial" w:cs="Arial"/>
          <w:lang w:eastAsia="en-US"/>
        </w:rPr>
        <w:t xml:space="preserve">, </w:t>
      </w:r>
      <w:proofErr w:type="gramStart"/>
      <w:r w:rsidRPr="009F1550">
        <w:rPr>
          <w:rFonts w:ascii="Arial" w:hAnsi="Arial" w:cs="Arial"/>
          <w:lang w:eastAsia="en-US"/>
        </w:rPr>
        <w:t>it’s</w:t>
      </w:r>
      <w:proofErr w:type="gramEnd"/>
      <w:r w:rsidRPr="009F1550">
        <w:rPr>
          <w:rFonts w:ascii="Arial" w:hAnsi="Arial" w:cs="Arial"/>
          <w:lang w:eastAsia="en-US"/>
        </w:rPr>
        <w:t xml:space="preserve"> wonderful to be welcoming contractors suitable for the main strategic infrastructure and construction works to come forward and begin registering their interest in these.</w:t>
      </w:r>
      <w:r>
        <w:rPr>
          <w:rFonts w:ascii="Arial" w:hAnsi="Arial" w:cs="Arial"/>
          <w:lang w:eastAsia="en-US"/>
        </w:rPr>
        <w:t xml:space="preserve"> </w:t>
      </w:r>
    </w:p>
    <w:p w14:paraId="11974D7C" w14:textId="393BC38C" w:rsidR="009F1550" w:rsidRP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lastRenderedPageBreak/>
        <w:t xml:space="preserve">”Sleaford Moor Enterprise Park </w:t>
      </w:r>
      <w:proofErr w:type="gramStart"/>
      <w:r w:rsidRPr="009F1550">
        <w:rPr>
          <w:rFonts w:ascii="Arial" w:hAnsi="Arial" w:cs="Arial"/>
          <w:lang w:eastAsia="en-US"/>
        </w:rPr>
        <w:t>is intended</w:t>
      </w:r>
      <w:proofErr w:type="gramEnd"/>
      <w:r w:rsidRPr="009F1550">
        <w:rPr>
          <w:rFonts w:ascii="Arial" w:hAnsi="Arial" w:cs="Arial"/>
          <w:lang w:eastAsia="en-US"/>
        </w:rPr>
        <w:t xml:space="preserve"> to be a blueprint for eco-conscious development in future. It demonstrates how site features such as walkways around attenuation ponds, tree planting and wildflower verges, as well as energy saving technology and des</w:t>
      </w:r>
      <w:r>
        <w:rPr>
          <w:rFonts w:ascii="Arial" w:hAnsi="Arial" w:cs="Arial"/>
          <w:lang w:eastAsia="en-US"/>
        </w:rPr>
        <w:t xml:space="preserve">ign features within the units, </w:t>
      </w:r>
      <w:r w:rsidRPr="009F1550">
        <w:rPr>
          <w:rFonts w:ascii="Arial" w:hAnsi="Arial" w:cs="Arial"/>
          <w:lang w:eastAsia="en-US"/>
        </w:rPr>
        <w:t>can create an environment with scope for both wildlife and better wellbeing for employees, making it an exciting project for any contractor.”</w:t>
      </w:r>
    </w:p>
    <w:p w14:paraId="06A99FDC" w14:textId="77777777" w:rsid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t xml:space="preserve">Businesses which would be interested in submitting a tender for the strategic infrastructure works and construction of commercial industrial style units are asked to join biT Group’s (part of Telford &amp; Wrekin Council) DPS by 5pm on Friday 4 June 2021. </w:t>
      </w:r>
    </w:p>
    <w:p w14:paraId="0F31B61B" w14:textId="7E819588" w:rsidR="009F1550" w:rsidRPr="009F1550" w:rsidRDefault="009F1550" w:rsidP="009F1550">
      <w:pPr>
        <w:pStyle w:val="NormalWeb"/>
        <w:shd w:val="clear" w:color="auto" w:fill="FFFFFF"/>
        <w:spacing w:before="0" w:beforeAutospacing="0" w:after="240" w:afterAutospacing="0"/>
        <w:rPr>
          <w:rFonts w:ascii="Arial" w:hAnsi="Arial" w:cs="Arial"/>
          <w:b/>
          <w:bCs/>
          <w:szCs w:val="22"/>
          <w:lang w:eastAsia="en-US"/>
        </w:rPr>
      </w:pPr>
      <w:r w:rsidRPr="009F1550">
        <w:rPr>
          <w:rFonts w:ascii="Arial" w:hAnsi="Arial" w:cs="Arial"/>
          <w:b/>
          <w:bCs/>
          <w:szCs w:val="22"/>
          <w:lang w:eastAsia="en-US"/>
        </w:rPr>
        <w:t>For contractors - how to join the DPS</w:t>
      </w:r>
    </w:p>
    <w:p w14:paraId="0123F305" w14:textId="77777777" w:rsidR="009F1550" w:rsidRPr="009F1550" w:rsidRDefault="009F1550" w:rsidP="009F1550">
      <w:pPr>
        <w:spacing w:before="240" w:after="240" w:line="276" w:lineRule="auto"/>
        <w:jc w:val="both"/>
        <w:rPr>
          <w:rFonts w:ascii="Arial" w:hAnsi="Arial" w:cs="Arial"/>
          <w:sz w:val="22"/>
          <w:szCs w:val="22"/>
          <w:lang w:val="en" w:eastAsia="en-GB"/>
        </w:rPr>
      </w:pPr>
      <w:r w:rsidRPr="009F1550">
        <w:rPr>
          <w:rFonts w:ascii="Arial" w:hAnsi="Arial" w:cs="Arial"/>
          <w:lang w:val="en" w:eastAsia="en-GB"/>
        </w:rPr>
        <w:t xml:space="preserve">We would like to invite you to join biT Group’s </w:t>
      </w:r>
      <w:hyperlink r:id="rId8" w:history="1">
        <w:r w:rsidRPr="009F1550">
          <w:rPr>
            <w:rStyle w:val="Hyperlink"/>
            <w:rFonts w:ascii="Arial" w:hAnsi="Arial" w:cs="Arial"/>
            <w:color w:val="auto"/>
            <w:lang w:val="en" w:eastAsia="en-GB"/>
          </w:rPr>
          <w:t>Dynamic Purchasing System</w:t>
        </w:r>
      </w:hyperlink>
      <w:r w:rsidRPr="009F1550">
        <w:rPr>
          <w:rFonts w:ascii="Arial" w:hAnsi="Arial" w:cs="Arial"/>
          <w:lang w:val="en" w:eastAsia="en-GB"/>
        </w:rPr>
        <w:t xml:space="preserve"> which will provide a list of approved providers considered capable of carrying out major works to a satisfactory standard valid up to £120,000,000 (although some projects may exceed this value).   </w:t>
      </w:r>
    </w:p>
    <w:p w14:paraId="5B2EA5AF" w14:textId="675566D1" w:rsidR="009F1550" w:rsidRPr="009F1550" w:rsidRDefault="009F1550" w:rsidP="009F1550">
      <w:pPr>
        <w:spacing w:before="240" w:after="240" w:line="276" w:lineRule="auto"/>
        <w:rPr>
          <w:rFonts w:ascii="Arial" w:hAnsi="Arial" w:cs="Arial"/>
          <w:lang w:val="en" w:eastAsia="en-GB"/>
        </w:rPr>
      </w:pPr>
      <w:r w:rsidRPr="009F1550">
        <w:rPr>
          <w:rFonts w:ascii="Arial" w:hAnsi="Arial" w:cs="Arial"/>
          <w:lang w:val="en" w:eastAsia="en-GB"/>
        </w:rPr>
        <w:t>The DPS is a two-stage process:</w:t>
      </w:r>
      <w:r>
        <w:rPr>
          <w:rFonts w:ascii="Arial" w:hAnsi="Arial" w:cs="Arial"/>
          <w:lang w:val="en" w:eastAsia="en-GB"/>
        </w:rPr>
        <w:br/>
      </w:r>
      <w:r w:rsidRPr="009F1550">
        <w:rPr>
          <w:rFonts w:ascii="Arial" w:hAnsi="Arial" w:cs="Arial"/>
          <w:lang w:val="en" w:eastAsia="en-GB"/>
        </w:rPr>
        <w:t xml:space="preserve"> </w:t>
      </w:r>
      <w:r w:rsidRPr="009F1550">
        <w:rPr>
          <w:rFonts w:ascii="Arial" w:hAnsi="Arial" w:cs="Arial"/>
          <w:lang w:val="en" w:eastAsia="en-GB"/>
        </w:rPr>
        <w:br/>
      </w:r>
      <w:r w:rsidRPr="009F1550">
        <w:rPr>
          <w:rFonts w:ascii="Arial" w:hAnsi="Arial" w:cs="Arial"/>
          <w:b/>
          <w:bCs/>
          <w:lang w:val="en" w:eastAsia="en-GB"/>
        </w:rPr>
        <w:t xml:space="preserve">Stage 1 </w:t>
      </w:r>
      <w:r w:rsidRPr="009F1550">
        <w:rPr>
          <w:rFonts w:ascii="Arial" w:hAnsi="Arial" w:cs="Arial"/>
          <w:b/>
          <w:bCs/>
          <w:lang w:val="en" w:eastAsia="en-GB"/>
        </w:rPr>
        <w:br/>
      </w:r>
      <w:r w:rsidRPr="009F1550">
        <w:rPr>
          <w:rFonts w:ascii="Arial" w:hAnsi="Arial" w:cs="Arial"/>
          <w:lang w:val="en" w:eastAsia="en-GB"/>
        </w:rPr>
        <w:t xml:space="preserve">In the initial setup stage, all providers who meet the selection criteria and </w:t>
      </w:r>
      <w:proofErr w:type="gramStart"/>
      <w:r w:rsidRPr="009F1550">
        <w:rPr>
          <w:rFonts w:ascii="Arial" w:hAnsi="Arial" w:cs="Arial"/>
          <w:lang w:val="en" w:eastAsia="en-GB"/>
        </w:rPr>
        <w:t>are not excluded</w:t>
      </w:r>
      <w:proofErr w:type="gramEnd"/>
      <w:r w:rsidRPr="009F1550">
        <w:rPr>
          <w:rFonts w:ascii="Arial" w:hAnsi="Arial" w:cs="Arial"/>
          <w:lang w:val="en" w:eastAsia="en-GB"/>
        </w:rPr>
        <w:t xml:space="preserve"> will be admitted to the DPS. </w:t>
      </w:r>
      <w:proofErr w:type="gramStart"/>
      <w:r w:rsidRPr="009F1550">
        <w:rPr>
          <w:rFonts w:ascii="Arial" w:hAnsi="Arial" w:cs="Arial"/>
          <w:lang w:val="en" w:eastAsia="en-GB"/>
        </w:rPr>
        <w:t>There is no limit on the number of providers that may join the DPS for each Lot</w:t>
      </w:r>
      <w:proofErr w:type="gramEnd"/>
      <w:r w:rsidRPr="009F1550">
        <w:rPr>
          <w:rFonts w:ascii="Arial" w:hAnsi="Arial" w:cs="Arial"/>
          <w:lang w:val="en" w:eastAsia="en-GB"/>
        </w:rPr>
        <w:t xml:space="preserve"> and new providers can apply to join the DPS at any point during its lifetime. In order to join the DPS for Major Building Works please complete the application process via </w:t>
      </w:r>
      <w:hyperlink r:id="rId9" w:history="1">
        <w:r w:rsidRPr="009F1550">
          <w:rPr>
            <w:rStyle w:val="Hyperlink"/>
            <w:rFonts w:ascii="Arial" w:hAnsi="Arial" w:cs="Arial"/>
            <w:color w:val="auto"/>
            <w:lang w:val="en" w:eastAsia="en-GB"/>
          </w:rPr>
          <w:t>Delta</w:t>
        </w:r>
      </w:hyperlink>
      <w:r w:rsidRPr="009F1550">
        <w:rPr>
          <w:rFonts w:ascii="Arial" w:hAnsi="Arial" w:cs="Arial"/>
          <w:lang w:val="en" w:eastAsia="en-GB"/>
        </w:rPr>
        <w:t xml:space="preserve">. The documents are available on the </w:t>
      </w:r>
      <w:hyperlink r:id="rId10" w:tooltip="Visit the Delta website" w:history="1">
        <w:r w:rsidRPr="009F1550">
          <w:rPr>
            <w:rStyle w:val="Hyperlink"/>
            <w:rFonts w:ascii="Arial" w:hAnsi="Arial" w:cs="Arial"/>
            <w:color w:val="auto"/>
            <w:lang w:val="en" w:eastAsia="en-GB"/>
          </w:rPr>
          <w:t>Delta website</w:t>
        </w:r>
      </w:hyperlink>
      <w:r w:rsidRPr="009F1550">
        <w:rPr>
          <w:rFonts w:ascii="Arial" w:hAnsi="Arial" w:cs="Arial"/>
          <w:lang w:eastAsia="en-GB"/>
        </w:rPr>
        <w:t xml:space="preserve"> </w:t>
      </w:r>
      <w:r w:rsidRPr="009F1550">
        <w:rPr>
          <w:rFonts w:ascii="Arial" w:hAnsi="Arial" w:cs="Arial"/>
          <w:lang w:val="en" w:eastAsia="en-GB"/>
        </w:rPr>
        <w:t>and you must register on this site to be able to respond. To ensure you receive and always have full access to the documentation from Delta, you may find it beneficial to r</w:t>
      </w:r>
      <w:r>
        <w:rPr>
          <w:rFonts w:ascii="Arial" w:hAnsi="Arial" w:cs="Arial"/>
          <w:lang w:val="en" w:eastAsia="en-GB"/>
        </w:rPr>
        <w:t>egister using a shared mailbox.</w:t>
      </w:r>
      <w:r w:rsidRPr="009F1550">
        <w:rPr>
          <w:rFonts w:ascii="Arial" w:hAnsi="Arial" w:cs="Arial"/>
          <w:lang w:val="en" w:eastAsia="en-GB"/>
        </w:rPr>
        <w:t xml:space="preserve"> Please log in and add the Tender Access Code relating to the Lot(s) you wish to join to the response manager.  </w:t>
      </w:r>
    </w:p>
    <w:p w14:paraId="2797247C" w14:textId="77777777" w:rsidR="009F1550" w:rsidRPr="009F1550" w:rsidRDefault="009F1550" w:rsidP="009F1550">
      <w:pPr>
        <w:spacing w:before="240" w:after="240" w:line="276" w:lineRule="auto"/>
        <w:jc w:val="both"/>
        <w:rPr>
          <w:rFonts w:ascii="Arial" w:hAnsi="Arial" w:cs="Arial"/>
          <w:lang w:val="en" w:eastAsia="en-GB"/>
        </w:rPr>
      </w:pPr>
      <w:r w:rsidRPr="009F1550">
        <w:rPr>
          <w:rFonts w:ascii="Arial" w:hAnsi="Arial" w:cs="Arial"/>
          <w:lang w:val="en" w:eastAsia="en-GB"/>
        </w:rPr>
        <w:t>You may submit a questionnaire response at any time during the validity of the DPS (March 2019 – 15 April 2023) and may re-submit at any time e.g. for additional Lots or to update information.</w:t>
      </w:r>
    </w:p>
    <w:p w14:paraId="6C5F7C4A" w14:textId="6E11B700" w:rsidR="009F1550" w:rsidRPr="009F1550" w:rsidRDefault="009F1550" w:rsidP="009F1550">
      <w:pPr>
        <w:spacing w:before="240" w:after="240" w:line="276" w:lineRule="auto"/>
        <w:rPr>
          <w:rFonts w:ascii="Arial" w:hAnsi="Arial" w:cs="Arial"/>
          <w:lang w:val="en" w:eastAsia="en-GB"/>
        </w:rPr>
      </w:pPr>
      <w:r>
        <w:rPr>
          <w:rFonts w:ascii="Arial" w:hAnsi="Arial" w:cs="Arial"/>
          <w:b/>
          <w:bCs/>
          <w:lang w:val="en" w:eastAsia="en-GB"/>
        </w:rPr>
        <w:t xml:space="preserve">Stage </w:t>
      </w:r>
      <w:proofErr w:type="gramStart"/>
      <w:r w:rsidRPr="009F1550">
        <w:rPr>
          <w:rFonts w:ascii="Arial" w:hAnsi="Arial" w:cs="Arial"/>
          <w:b/>
          <w:bCs/>
          <w:lang w:val="en" w:eastAsia="en-GB"/>
        </w:rPr>
        <w:t>2</w:t>
      </w:r>
      <w:proofErr w:type="gramEnd"/>
      <w:r w:rsidRPr="009F1550">
        <w:rPr>
          <w:rFonts w:ascii="Arial" w:hAnsi="Arial" w:cs="Arial"/>
          <w:b/>
          <w:bCs/>
          <w:lang w:val="en" w:eastAsia="en-GB"/>
        </w:rPr>
        <w:t xml:space="preserve"> </w:t>
      </w:r>
      <w:r w:rsidRPr="009F1550">
        <w:rPr>
          <w:rFonts w:ascii="Arial" w:hAnsi="Arial" w:cs="Arial"/>
          <w:b/>
          <w:bCs/>
          <w:lang w:val="en" w:eastAsia="en-GB"/>
        </w:rPr>
        <w:br/>
      </w:r>
      <w:r w:rsidRPr="009F1550">
        <w:rPr>
          <w:rFonts w:ascii="Arial" w:hAnsi="Arial" w:cs="Arial"/>
          <w:lang w:val="en" w:eastAsia="en-GB"/>
        </w:rPr>
        <w:t xml:space="preserve">Individual contracts are awarded during the second stage. In this </w:t>
      </w:r>
      <w:proofErr w:type="gramStart"/>
      <w:r w:rsidRPr="009F1550">
        <w:rPr>
          <w:rFonts w:ascii="Arial" w:hAnsi="Arial" w:cs="Arial"/>
          <w:lang w:val="en" w:eastAsia="en-GB"/>
        </w:rPr>
        <w:t>stage</w:t>
      </w:r>
      <w:proofErr w:type="gramEnd"/>
      <w:r w:rsidRPr="009F1550">
        <w:rPr>
          <w:rFonts w:ascii="Arial" w:hAnsi="Arial" w:cs="Arial"/>
          <w:lang w:val="en" w:eastAsia="en-GB"/>
        </w:rPr>
        <w:t xml:space="preserve"> all providers admitted to the DPS for the Lot required can bid for a specific contract. </w:t>
      </w:r>
    </w:p>
    <w:tbl>
      <w:tblPr>
        <w:tblW w:w="4997" w:type="pct"/>
        <w:tblInd w:w="9" w:type="dxa"/>
        <w:tblCellMar>
          <w:left w:w="0" w:type="dxa"/>
          <w:right w:w="0" w:type="dxa"/>
        </w:tblCellMar>
        <w:tblLook w:val="04A0" w:firstRow="1" w:lastRow="0" w:firstColumn="1" w:lastColumn="0" w:noHBand="0" w:noVBand="1"/>
      </w:tblPr>
      <w:tblGrid>
        <w:gridCol w:w="780"/>
        <w:gridCol w:w="5053"/>
        <w:gridCol w:w="2782"/>
      </w:tblGrid>
      <w:tr w:rsidR="009F1550" w:rsidRPr="009F1550" w14:paraId="7D90C16D" w14:textId="77777777" w:rsidTr="009F1550">
        <w:tc>
          <w:tcPr>
            <w:tcW w:w="0" w:type="auto"/>
            <w:tcBorders>
              <w:top w:val="single" w:sz="8" w:space="0" w:color="DDDDDD"/>
              <w:left w:val="single" w:sz="8" w:space="0" w:color="DDDDDD"/>
              <w:bottom w:val="single" w:sz="8" w:space="0" w:color="DDDDDD"/>
              <w:right w:val="single" w:sz="8" w:space="0" w:color="DDDDDD"/>
            </w:tcBorders>
            <w:shd w:val="clear" w:color="auto" w:fill="00747B"/>
            <w:tcMar>
              <w:top w:w="75" w:type="dxa"/>
              <w:left w:w="150" w:type="dxa"/>
              <w:bottom w:w="75" w:type="dxa"/>
              <w:right w:w="150" w:type="dxa"/>
            </w:tcMar>
            <w:vAlign w:val="center"/>
            <w:hideMark/>
          </w:tcPr>
          <w:p w14:paraId="26301B85" w14:textId="77777777" w:rsidR="009F1550" w:rsidRPr="009F1550" w:rsidRDefault="009F1550">
            <w:pPr>
              <w:spacing w:before="379" w:after="379" w:line="384" w:lineRule="atLeast"/>
              <w:jc w:val="both"/>
              <w:rPr>
                <w:rFonts w:ascii="Arial" w:hAnsi="Arial" w:cs="Arial"/>
                <w:b/>
                <w:bCs/>
                <w:caps/>
                <w:lang w:eastAsia="en-GB"/>
              </w:rPr>
            </w:pPr>
            <w:r w:rsidRPr="009F1550">
              <w:rPr>
                <w:rFonts w:ascii="Arial" w:hAnsi="Arial" w:cs="Arial"/>
                <w:b/>
                <w:bCs/>
                <w:caps/>
                <w:lang w:eastAsia="en-GB"/>
              </w:rPr>
              <w:lastRenderedPageBreak/>
              <w:t xml:space="preserve">Lot </w:t>
            </w:r>
          </w:p>
        </w:tc>
        <w:tc>
          <w:tcPr>
            <w:tcW w:w="0" w:type="auto"/>
            <w:tcBorders>
              <w:top w:val="single" w:sz="8" w:space="0" w:color="DDDDDD"/>
              <w:left w:val="nil"/>
              <w:bottom w:val="single" w:sz="8" w:space="0" w:color="DDDDDD"/>
              <w:right w:val="single" w:sz="8" w:space="0" w:color="DDDDDD"/>
            </w:tcBorders>
            <w:shd w:val="clear" w:color="auto" w:fill="00747B"/>
            <w:tcMar>
              <w:top w:w="75" w:type="dxa"/>
              <w:left w:w="150" w:type="dxa"/>
              <w:bottom w:w="75" w:type="dxa"/>
              <w:right w:w="150" w:type="dxa"/>
            </w:tcMar>
            <w:vAlign w:val="center"/>
            <w:hideMark/>
          </w:tcPr>
          <w:p w14:paraId="1E9C81E1" w14:textId="77777777" w:rsidR="009F1550" w:rsidRPr="009F1550" w:rsidRDefault="009F1550">
            <w:pPr>
              <w:spacing w:before="379" w:after="379" w:line="384" w:lineRule="atLeast"/>
              <w:jc w:val="both"/>
              <w:rPr>
                <w:rFonts w:ascii="Arial" w:hAnsi="Arial" w:cs="Arial"/>
                <w:b/>
                <w:bCs/>
                <w:caps/>
                <w:lang w:eastAsia="en-GB"/>
              </w:rPr>
            </w:pPr>
            <w:r w:rsidRPr="009F1550">
              <w:rPr>
                <w:rFonts w:ascii="Arial" w:hAnsi="Arial" w:cs="Arial"/>
                <w:b/>
                <w:bCs/>
                <w:caps/>
                <w:lang w:eastAsia="en-GB"/>
              </w:rPr>
              <w:t>Description</w:t>
            </w:r>
          </w:p>
        </w:tc>
        <w:tc>
          <w:tcPr>
            <w:tcW w:w="0" w:type="auto"/>
            <w:tcBorders>
              <w:top w:val="single" w:sz="8" w:space="0" w:color="DDDDDD"/>
              <w:left w:val="nil"/>
              <w:bottom w:val="single" w:sz="8" w:space="0" w:color="DDDDDD"/>
              <w:right w:val="single" w:sz="8" w:space="0" w:color="DDDDDD"/>
            </w:tcBorders>
            <w:shd w:val="clear" w:color="auto" w:fill="00747B"/>
            <w:tcMar>
              <w:top w:w="15" w:type="dxa"/>
              <w:left w:w="15" w:type="dxa"/>
              <w:bottom w:w="15" w:type="dxa"/>
              <w:right w:w="15" w:type="dxa"/>
            </w:tcMar>
          </w:tcPr>
          <w:p w14:paraId="752F4FEE" w14:textId="77777777" w:rsidR="009F1550" w:rsidRPr="009F1550" w:rsidRDefault="009F1550">
            <w:pPr>
              <w:spacing w:line="252" w:lineRule="auto"/>
              <w:rPr>
                <w:rFonts w:ascii="Arial" w:hAnsi="Arial" w:cs="Arial"/>
                <w:b/>
                <w:bCs/>
                <w:caps/>
                <w:lang w:eastAsia="en-GB"/>
              </w:rPr>
            </w:pPr>
          </w:p>
          <w:p w14:paraId="331A4A55" w14:textId="77777777" w:rsidR="009F1550" w:rsidRPr="009F1550" w:rsidRDefault="009F1550">
            <w:pPr>
              <w:spacing w:line="252" w:lineRule="auto"/>
              <w:rPr>
                <w:rFonts w:ascii="Arial" w:hAnsi="Arial" w:cs="Arial"/>
                <w:b/>
                <w:bCs/>
                <w:caps/>
                <w:lang w:eastAsia="en-GB"/>
              </w:rPr>
            </w:pPr>
          </w:p>
          <w:p w14:paraId="12A275E0" w14:textId="77777777" w:rsidR="009F1550" w:rsidRPr="009F1550" w:rsidRDefault="009F1550">
            <w:pPr>
              <w:spacing w:line="252" w:lineRule="auto"/>
              <w:rPr>
                <w:rFonts w:ascii="Arial" w:hAnsi="Arial" w:cs="Arial"/>
              </w:rPr>
            </w:pPr>
            <w:r w:rsidRPr="009F1550">
              <w:rPr>
                <w:rFonts w:ascii="Arial" w:hAnsi="Arial" w:cs="Arial"/>
                <w:b/>
                <w:bCs/>
                <w:caps/>
                <w:lang w:eastAsia="en-GB"/>
              </w:rPr>
              <w:t>Tender access code</w:t>
            </w:r>
          </w:p>
        </w:tc>
      </w:tr>
      <w:tr w:rsidR="009F1550" w:rsidRPr="009F1550" w14:paraId="629552CB" w14:textId="77777777" w:rsidTr="009F1550">
        <w:tc>
          <w:tcPr>
            <w:tcW w:w="0" w:type="auto"/>
            <w:tcBorders>
              <w:top w:val="nil"/>
              <w:left w:val="single" w:sz="8" w:space="0" w:color="DDDDDD"/>
              <w:bottom w:val="single" w:sz="8" w:space="0" w:color="DDDDDD"/>
              <w:right w:val="single" w:sz="8" w:space="0" w:color="DDDDDD"/>
            </w:tcBorders>
            <w:tcMar>
              <w:top w:w="75" w:type="dxa"/>
              <w:left w:w="150" w:type="dxa"/>
              <w:bottom w:w="75" w:type="dxa"/>
              <w:right w:w="150" w:type="dxa"/>
            </w:tcMar>
            <w:hideMark/>
          </w:tcPr>
          <w:p w14:paraId="35597580" w14:textId="77777777" w:rsidR="009F1550" w:rsidRPr="009F1550" w:rsidRDefault="009F1550">
            <w:pPr>
              <w:spacing w:before="379" w:after="379" w:line="379" w:lineRule="atLeast"/>
              <w:jc w:val="both"/>
              <w:rPr>
                <w:rFonts w:ascii="Arial" w:hAnsi="Arial" w:cs="Arial"/>
                <w:lang w:eastAsia="en-GB"/>
              </w:rPr>
            </w:pPr>
            <w:r w:rsidRPr="009F1550">
              <w:rPr>
                <w:rFonts w:ascii="Arial" w:hAnsi="Arial" w:cs="Arial"/>
                <w:lang w:eastAsia="en-GB"/>
              </w:rPr>
              <w:t>1</w:t>
            </w:r>
          </w:p>
        </w:tc>
        <w:tc>
          <w:tcPr>
            <w:tcW w:w="0" w:type="auto"/>
            <w:tcBorders>
              <w:top w:val="nil"/>
              <w:left w:val="nil"/>
              <w:bottom w:val="single" w:sz="8" w:space="0" w:color="DDDDDD"/>
              <w:right w:val="single" w:sz="8" w:space="0" w:color="DDDDDD"/>
            </w:tcBorders>
            <w:tcMar>
              <w:top w:w="75" w:type="dxa"/>
              <w:left w:w="150" w:type="dxa"/>
              <w:bottom w:w="75" w:type="dxa"/>
              <w:right w:w="150" w:type="dxa"/>
            </w:tcMar>
            <w:hideMark/>
          </w:tcPr>
          <w:p w14:paraId="43FD6F90" w14:textId="77777777" w:rsidR="009F1550" w:rsidRPr="009F1550" w:rsidRDefault="009F1550" w:rsidP="009F1550">
            <w:pPr>
              <w:spacing w:before="379" w:after="379" w:line="379" w:lineRule="atLeast"/>
              <w:rPr>
                <w:rFonts w:ascii="Arial" w:hAnsi="Arial" w:cs="Arial"/>
                <w:lang w:eastAsia="en-GB"/>
              </w:rPr>
            </w:pPr>
            <w:r w:rsidRPr="009F1550">
              <w:rPr>
                <w:rFonts w:ascii="Arial" w:hAnsi="Arial" w:cs="Arial"/>
                <w:lang w:eastAsia="en-GB"/>
              </w:rPr>
              <w:t>Construction Works (£800,000 - £1,500,000)</w:t>
            </w:r>
          </w:p>
        </w:tc>
        <w:tc>
          <w:tcPr>
            <w:tcW w:w="0" w:type="auto"/>
            <w:tcBorders>
              <w:top w:val="nil"/>
              <w:left w:val="nil"/>
              <w:bottom w:val="single" w:sz="8" w:space="0" w:color="DDDDDD"/>
              <w:right w:val="single" w:sz="8" w:space="0" w:color="DDDDDD"/>
            </w:tcBorders>
            <w:tcMar>
              <w:top w:w="15" w:type="dxa"/>
              <w:left w:w="15" w:type="dxa"/>
              <w:bottom w:w="15" w:type="dxa"/>
              <w:right w:w="15" w:type="dxa"/>
            </w:tcMar>
            <w:hideMark/>
          </w:tcPr>
          <w:p w14:paraId="6CADCCC3" w14:textId="77777777" w:rsidR="009F1550" w:rsidRPr="009F1550" w:rsidRDefault="009F1550">
            <w:pPr>
              <w:spacing w:line="252" w:lineRule="auto"/>
              <w:rPr>
                <w:rFonts w:ascii="Arial" w:hAnsi="Arial" w:cs="Arial"/>
                <w:b/>
                <w:bCs/>
                <w:caps/>
                <w:lang w:eastAsia="en-GB"/>
              </w:rPr>
            </w:pPr>
            <w:r w:rsidRPr="009F1550">
              <w:rPr>
                <w:rStyle w:val="Strong"/>
                <w:rFonts w:ascii="Arial" w:hAnsi="Arial" w:cs="Arial"/>
                <w:lang w:val="en"/>
              </w:rPr>
              <w:t>P34FZW5FM8</w:t>
            </w:r>
            <w:r w:rsidRPr="009F1550">
              <w:rPr>
                <w:rFonts w:ascii="Arial" w:hAnsi="Arial" w:cs="Arial"/>
                <w:b/>
                <w:bCs/>
                <w:caps/>
                <w:lang w:eastAsia="en-GB"/>
              </w:rPr>
              <w:t>ss</w:t>
            </w:r>
          </w:p>
        </w:tc>
      </w:tr>
      <w:tr w:rsidR="009F1550" w:rsidRPr="009F1550" w14:paraId="1CC93CD0" w14:textId="77777777" w:rsidTr="009F1550">
        <w:tc>
          <w:tcPr>
            <w:tcW w:w="0" w:type="auto"/>
            <w:tcBorders>
              <w:top w:val="nil"/>
              <w:left w:val="single" w:sz="8" w:space="0" w:color="DDDDDD"/>
              <w:bottom w:val="single" w:sz="8" w:space="0" w:color="DDDDDD"/>
              <w:right w:val="single" w:sz="8" w:space="0" w:color="DDDDDD"/>
            </w:tcBorders>
            <w:tcMar>
              <w:top w:w="75" w:type="dxa"/>
              <w:left w:w="150" w:type="dxa"/>
              <w:bottom w:w="75" w:type="dxa"/>
              <w:right w:w="150" w:type="dxa"/>
            </w:tcMar>
            <w:hideMark/>
          </w:tcPr>
          <w:p w14:paraId="15961CA0" w14:textId="77777777" w:rsidR="009F1550" w:rsidRPr="009F1550" w:rsidRDefault="009F1550">
            <w:pPr>
              <w:spacing w:before="379" w:after="379" w:line="379" w:lineRule="atLeast"/>
              <w:jc w:val="both"/>
              <w:rPr>
                <w:rFonts w:ascii="Arial" w:hAnsi="Arial" w:cs="Arial"/>
                <w:lang w:eastAsia="en-GB"/>
              </w:rPr>
            </w:pPr>
            <w:r w:rsidRPr="009F1550">
              <w:rPr>
                <w:rFonts w:ascii="Arial" w:hAnsi="Arial" w:cs="Arial"/>
                <w:lang w:eastAsia="en-GB"/>
              </w:rPr>
              <w:t xml:space="preserve">2 </w:t>
            </w:r>
          </w:p>
        </w:tc>
        <w:tc>
          <w:tcPr>
            <w:tcW w:w="0" w:type="auto"/>
            <w:tcBorders>
              <w:top w:val="nil"/>
              <w:left w:val="nil"/>
              <w:bottom w:val="single" w:sz="8" w:space="0" w:color="DDDDDD"/>
              <w:right w:val="single" w:sz="8" w:space="0" w:color="DDDDDD"/>
            </w:tcBorders>
            <w:tcMar>
              <w:top w:w="75" w:type="dxa"/>
              <w:left w:w="150" w:type="dxa"/>
              <w:bottom w:w="75" w:type="dxa"/>
              <w:right w:w="150" w:type="dxa"/>
            </w:tcMar>
            <w:hideMark/>
          </w:tcPr>
          <w:p w14:paraId="3AD4E8A9" w14:textId="77777777" w:rsidR="009F1550" w:rsidRPr="009F1550" w:rsidRDefault="009F1550" w:rsidP="009F1550">
            <w:pPr>
              <w:spacing w:before="379" w:after="379" w:line="379" w:lineRule="atLeast"/>
              <w:rPr>
                <w:rFonts w:ascii="Arial" w:hAnsi="Arial" w:cs="Arial"/>
                <w:lang w:eastAsia="en-GB"/>
              </w:rPr>
            </w:pPr>
            <w:r w:rsidRPr="009F1550">
              <w:rPr>
                <w:rFonts w:ascii="Arial" w:hAnsi="Arial" w:cs="Arial"/>
                <w:lang w:eastAsia="en-GB"/>
              </w:rPr>
              <w:t xml:space="preserve">Construction Works (£1,500,000 - £4,551,413) </w:t>
            </w:r>
          </w:p>
        </w:tc>
        <w:tc>
          <w:tcPr>
            <w:tcW w:w="0" w:type="auto"/>
            <w:tcBorders>
              <w:top w:val="nil"/>
              <w:left w:val="nil"/>
              <w:bottom w:val="single" w:sz="8" w:space="0" w:color="DDDDDD"/>
              <w:right w:val="single" w:sz="8" w:space="0" w:color="DDDDDD"/>
            </w:tcBorders>
            <w:tcMar>
              <w:top w:w="15" w:type="dxa"/>
              <w:left w:w="15" w:type="dxa"/>
              <w:bottom w:w="15" w:type="dxa"/>
              <w:right w:w="15" w:type="dxa"/>
            </w:tcMar>
            <w:hideMark/>
          </w:tcPr>
          <w:p w14:paraId="14EE80A0" w14:textId="77777777" w:rsidR="009F1550" w:rsidRPr="009F1550" w:rsidRDefault="009F1550">
            <w:pPr>
              <w:spacing w:line="252" w:lineRule="auto"/>
              <w:rPr>
                <w:rFonts w:ascii="Arial" w:hAnsi="Arial" w:cs="Arial"/>
              </w:rPr>
            </w:pPr>
            <w:r w:rsidRPr="009F1550">
              <w:rPr>
                <w:rStyle w:val="Strong"/>
                <w:rFonts w:ascii="Arial" w:hAnsi="Arial" w:cs="Arial"/>
              </w:rPr>
              <w:t> </w:t>
            </w:r>
            <w:r w:rsidRPr="009F1550">
              <w:rPr>
                <w:rStyle w:val="Strong"/>
                <w:rFonts w:ascii="Arial" w:hAnsi="Arial" w:cs="Arial"/>
                <w:lang w:val="en"/>
              </w:rPr>
              <w:t>UDYW843876</w:t>
            </w:r>
            <w:r w:rsidRPr="009F1550">
              <w:rPr>
                <w:rFonts w:ascii="Arial" w:hAnsi="Arial" w:cs="Arial"/>
                <w:b/>
                <w:bCs/>
                <w:caps/>
                <w:lang w:eastAsia="en-GB"/>
              </w:rPr>
              <w:t>ess</w:t>
            </w:r>
          </w:p>
        </w:tc>
      </w:tr>
      <w:tr w:rsidR="009F1550" w:rsidRPr="009F1550" w14:paraId="43B64768" w14:textId="77777777" w:rsidTr="009F1550">
        <w:tc>
          <w:tcPr>
            <w:tcW w:w="0" w:type="auto"/>
            <w:tcBorders>
              <w:top w:val="nil"/>
              <w:left w:val="single" w:sz="8" w:space="0" w:color="DDDDDD"/>
              <w:bottom w:val="single" w:sz="8" w:space="0" w:color="DDDDDD"/>
              <w:right w:val="single" w:sz="8" w:space="0" w:color="DDDDDD"/>
            </w:tcBorders>
            <w:tcMar>
              <w:top w:w="75" w:type="dxa"/>
              <w:left w:w="150" w:type="dxa"/>
              <w:bottom w:w="75" w:type="dxa"/>
              <w:right w:w="150" w:type="dxa"/>
            </w:tcMar>
            <w:hideMark/>
          </w:tcPr>
          <w:p w14:paraId="6F2EC45D" w14:textId="77777777" w:rsidR="009F1550" w:rsidRPr="009F1550" w:rsidRDefault="009F1550">
            <w:pPr>
              <w:spacing w:before="379" w:after="379" w:line="379" w:lineRule="atLeast"/>
              <w:jc w:val="both"/>
              <w:rPr>
                <w:rFonts w:ascii="Arial" w:hAnsi="Arial" w:cs="Arial"/>
                <w:lang w:eastAsia="en-GB"/>
              </w:rPr>
            </w:pPr>
            <w:r w:rsidRPr="009F1550">
              <w:rPr>
                <w:rFonts w:ascii="Arial" w:hAnsi="Arial" w:cs="Arial"/>
                <w:lang w:eastAsia="en-GB"/>
              </w:rPr>
              <w:t xml:space="preserve">3 </w:t>
            </w:r>
          </w:p>
        </w:tc>
        <w:tc>
          <w:tcPr>
            <w:tcW w:w="0" w:type="auto"/>
            <w:tcBorders>
              <w:top w:val="nil"/>
              <w:left w:val="nil"/>
              <w:bottom w:val="single" w:sz="8" w:space="0" w:color="DDDDDD"/>
              <w:right w:val="single" w:sz="8" w:space="0" w:color="DDDDDD"/>
            </w:tcBorders>
            <w:tcMar>
              <w:top w:w="75" w:type="dxa"/>
              <w:left w:w="150" w:type="dxa"/>
              <w:bottom w:w="75" w:type="dxa"/>
              <w:right w:w="150" w:type="dxa"/>
            </w:tcMar>
            <w:hideMark/>
          </w:tcPr>
          <w:p w14:paraId="70300497" w14:textId="77777777" w:rsidR="009F1550" w:rsidRPr="009F1550" w:rsidRDefault="009F1550" w:rsidP="009F1550">
            <w:pPr>
              <w:spacing w:before="379" w:after="379" w:line="379" w:lineRule="atLeast"/>
              <w:rPr>
                <w:rFonts w:ascii="Arial" w:hAnsi="Arial" w:cs="Arial"/>
                <w:lang w:eastAsia="en-GB"/>
              </w:rPr>
            </w:pPr>
            <w:r w:rsidRPr="009F1550">
              <w:rPr>
                <w:rFonts w:ascii="Arial" w:hAnsi="Arial" w:cs="Arial"/>
                <w:lang w:eastAsia="en-GB"/>
              </w:rPr>
              <w:t xml:space="preserve">Construction Works (£4,551,413 - £120,000,000) </w:t>
            </w:r>
          </w:p>
        </w:tc>
        <w:tc>
          <w:tcPr>
            <w:tcW w:w="0" w:type="auto"/>
            <w:tcBorders>
              <w:top w:val="nil"/>
              <w:left w:val="nil"/>
              <w:bottom w:val="single" w:sz="8" w:space="0" w:color="DDDDDD"/>
              <w:right w:val="single" w:sz="8" w:space="0" w:color="DDDDDD"/>
            </w:tcBorders>
            <w:tcMar>
              <w:top w:w="15" w:type="dxa"/>
              <w:left w:w="15" w:type="dxa"/>
              <w:bottom w:w="15" w:type="dxa"/>
              <w:right w:w="15" w:type="dxa"/>
            </w:tcMar>
            <w:hideMark/>
          </w:tcPr>
          <w:p w14:paraId="7D2D08C4" w14:textId="77777777" w:rsidR="009F1550" w:rsidRPr="009F1550" w:rsidRDefault="009F1550">
            <w:pPr>
              <w:spacing w:line="252" w:lineRule="auto"/>
              <w:rPr>
                <w:rFonts w:ascii="Arial" w:hAnsi="Arial" w:cs="Arial"/>
              </w:rPr>
            </w:pPr>
            <w:r w:rsidRPr="009F1550">
              <w:rPr>
                <w:rStyle w:val="Strong"/>
                <w:rFonts w:ascii="Arial" w:hAnsi="Arial" w:cs="Arial"/>
                <w:lang w:val="en"/>
              </w:rPr>
              <w:t> XAA6947WM4</w:t>
            </w:r>
            <w:r w:rsidRPr="009F1550">
              <w:rPr>
                <w:rFonts w:ascii="Arial" w:hAnsi="Arial" w:cs="Arial"/>
                <w:b/>
                <w:bCs/>
                <w:caps/>
                <w:lang w:eastAsia="en-GB"/>
              </w:rPr>
              <w:t>cess</w:t>
            </w:r>
          </w:p>
        </w:tc>
      </w:tr>
    </w:tbl>
    <w:p w14:paraId="42DE3287" w14:textId="77777777" w:rsidR="009F1550" w:rsidRPr="009F1550" w:rsidRDefault="009F1550" w:rsidP="009F1550">
      <w:pPr>
        <w:spacing w:line="320" w:lineRule="atLeast"/>
        <w:rPr>
          <w:rFonts w:ascii="Arial" w:eastAsiaTheme="minorHAnsi" w:hAnsi="Arial" w:cs="Arial"/>
          <w:sz w:val="22"/>
          <w:szCs w:val="22"/>
        </w:rPr>
      </w:pPr>
    </w:p>
    <w:tbl>
      <w:tblPr>
        <w:tblW w:w="0" w:type="auto"/>
        <w:tblInd w:w="544" w:type="dxa"/>
        <w:tblCellMar>
          <w:left w:w="0" w:type="dxa"/>
          <w:right w:w="0" w:type="dxa"/>
        </w:tblCellMar>
        <w:tblLook w:val="04A0" w:firstRow="1" w:lastRow="0" w:firstColumn="1" w:lastColumn="0" w:noHBand="0" w:noVBand="1"/>
      </w:tblPr>
      <w:tblGrid>
        <w:gridCol w:w="546"/>
        <w:gridCol w:w="6074"/>
        <w:gridCol w:w="1430"/>
      </w:tblGrid>
      <w:tr w:rsidR="009F1550" w:rsidRPr="009F1550" w14:paraId="60DD47A7" w14:textId="77777777" w:rsidTr="009F1550">
        <w:tc>
          <w:tcPr>
            <w:tcW w:w="567" w:type="dxa"/>
            <w:tcBorders>
              <w:top w:val="single" w:sz="18" w:space="0" w:color="FFFFFF"/>
              <w:left w:val="single" w:sz="18" w:space="0" w:color="FFFFFF"/>
              <w:bottom w:val="single" w:sz="18" w:space="0" w:color="FFFFFF"/>
              <w:right w:val="single" w:sz="18" w:space="0" w:color="FFFFFF"/>
            </w:tcBorders>
            <w:shd w:val="clear" w:color="auto" w:fill="333399"/>
            <w:tcMar>
              <w:top w:w="0" w:type="dxa"/>
              <w:left w:w="108" w:type="dxa"/>
              <w:bottom w:w="0" w:type="dxa"/>
              <w:right w:w="108" w:type="dxa"/>
            </w:tcMar>
          </w:tcPr>
          <w:p w14:paraId="61454566" w14:textId="77777777" w:rsidR="009F1550" w:rsidRPr="009F1550" w:rsidRDefault="009F1550">
            <w:pPr>
              <w:spacing w:before="80" w:after="80" w:line="320" w:lineRule="atLeast"/>
              <w:rPr>
                <w:rFonts w:ascii="Arial" w:hAnsi="Arial" w:cs="Arial"/>
                <w:b/>
                <w:bCs/>
                <w:color w:val="FFFFFF" w:themeColor="background1"/>
                <w:lang w:eastAsia="en-GB"/>
              </w:rPr>
            </w:pPr>
          </w:p>
        </w:tc>
        <w:tc>
          <w:tcPr>
            <w:tcW w:w="6521" w:type="dxa"/>
            <w:tcBorders>
              <w:top w:val="single" w:sz="18" w:space="0" w:color="FFFFFF"/>
              <w:left w:val="nil"/>
              <w:bottom w:val="single" w:sz="18" w:space="0" w:color="FFFFFF"/>
              <w:right w:val="single" w:sz="18" w:space="0" w:color="FFFFFF"/>
            </w:tcBorders>
            <w:shd w:val="clear" w:color="auto" w:fill="333399"/>
            <w:tcMar>
              <w:top w:w="0" w:type="dxa"/>
              <w:left w:w="108" w:type="dxa"/>
              <w:bottom w:w="0" w:type="dxa"/>
              <w:right w:w="108" w:type="dxa"/>
            </w:tcMar>
            <w:hideMark/>
          </w:tcPr>
          <w:p w14:paraId="39844A86" w14:textId="77777777" w:rsidR="009F1550" w:rsidRPr="009F1550" w:rsidRDefault="009F1550">
            <w:pPr>
              <w:spacing w:before="80" w:after="80" w:line="320" w:lineRule="atLeast"/>
              <w:rPr>
                <w:rFonts w:ascii="Arial" w:hAnsi="Arial" w:cs="Arial"/>
                <w:b/>
                <w:bCs/>
                <w:color w:val="FFFFFF" w:themeColor="background1"/>
                <w:lang w:eastAsia="en-GB"/>
              </w:rPr>
            </w:pPr>
            <w:r w:rsidRPr="009F1550">
              <w:rPr>
                <w:rFonts w:ascii="Arial" w:hAnsi="Arial" w:cs="Arial"/>
                <w:b/>
                <w:bCs/>
                <w:color w:val="FFFFFF" w:themeColor="background1"/>
                <w:lang w:eastAsia="en-GB"/>
              </w:rPr>
              <w:t>Criteria</w:t>
            </w:r>
          </w:p>
        </w:tc>
        <w:tc>
          <w:tcPr>
            <w:tcW w:w="1393" w:type="dxa"/>
            <w:tcBorders>
              <w:top w:val="single" w:sz="18" w:space="0" w:color="FFFFFF"/>
              <w:left w:val="nil"/>
              <w:bottom w:val="single" w:sz="18" w:space="0" w:color="FFFFFF"/>
              <w:right w:val="single" w:sz="18" w:space="0" w:color="FFFFFF"/>
            </w:tcBorders>
            <w:shd w:val="clear" w:color="auto" w:fill="333399"/>
            <w:tcMar>
              <w:top w:w="0" w:type="dxa"/>
              <w:left w:w="108" w:type="dxa"/>
              <w:bottom w:w="0" w:type="dxa"/>
              <w:right w:w="108" w:type="dxa"/>
            </w:tcMar>
            <w:hideMark/>
          </w:tcPr>
          <w:p w14:paraId="232BC2CF" w14:textId="77777777" w:rsidR="009F1550" w:rsidRPr="009F1550" w:rsidRDefault="009F1550">
            <w:pPr>
              <w:spacing w:before="80" w:after="80" w:line="320" w:lineRule="atLeast"/>
              <w:rPr>
                <w:rFonts w:ascii="Arial" w:hAnsi="Arial" w:cs="Arial"/>
                <w:b/>
                <w:bCs/>
                <w:color w:val="FFFFFF" w:themeColor="background1"/>
                <w:lang w:eastAsia="en-GB"/>
              </w:rPr>
            </w:pPr>
            <w:r w:rsidRPr="009F1550">
              <w:rPr>
                <w:rFonts w:ascii="Arial" w:hAnsi="Arial" w:cs="Arial"/>
                <w:b/>
                <w:bCs/>
                <w:color w:val="FFFFFF" w:themeColor="background1"/>
                <w:lang w:eastAsia="en-GB"/>
              </w:rPr>
              <w:t>Evaluation</w:t>
            </w:r>
          </w:p>
        </w:tc>
      </w:tr>
      <w:tr w:rsidR="009F1550" w:rsidRPr="009F1550" w14:paraId="5859D841"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2412C44F"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1</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7F01E117"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 xml:space="preserve">Minimum Gold membership of </w:t>
            </w:r>
            <w:proofErr w:type="spellStart"/>
            <w:r w:rsidRPr="009F1550">
              <w:rPr>
                <w:rFonts w:ascii="Arial" w:hAnsi="Arial" w:cs="Arial"/>
                <w:lang w:eastAsia="en-GB"/>
              </w:rPr>
              <w:t>Constructionline</w:t>
            </w:r>
            <w:proofErr w:type="spellEnd"/>
            <w:r w:rsidRPr="009F1550">
              <w:rPr>
                <w:rFonts w:ascii="Arial" w:hAnsi="Arial" w:cs="Arial"/>
                <w:lang w:eastAsia="en-GB"/>
              </w:rPr>
              <w:t xml:space="preserve"> </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062519C2"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r w:rsidR="009F1550" w:rsidRPr="009F1550" w14:paraId="32A9F29E"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09CA18F9"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2</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292CB664"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Membership of SSIP, such as CHAS (or equivalent)</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335DDB11"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r w:rsidR="009F1550" w:rsidRPr="009F1550" w14:paraId="0D0F0729"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3CCD7044"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3</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3058A484"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Signed up to the principles of the Council’s Safe Working Document</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53AC1E30"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r w:rsidR="009F1550" w:rsidRPr="009F1550" w14:paraId="50708269"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14925CB4"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4</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4DFB30B1"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Insurance requirements - £5m Employers, Public Liability and Professional Indemnity Insurances</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3887E532"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r w:rsidR="009F1550" w:rsidRPr="009F1550" w14:paraId="04A9870C"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0747C86B"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5</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67E07547"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Declaration completed</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29001EC7"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r w:rsidR="009F1550" w:rsidRPr="009F1550" w14:paraId="58D6A7B7" w14:textId="77777777" w:rsidTr="009F1550">
        <w:tc>
          <w:tcPr>
            <w:tcW w:w="567" w:type="dxa"/>
            <w:tcBorders>
              <w:top w:val="nil"/>
              <w:left w:val="single" w:sz="18" w:space="0" w:color="FFFFFF"/>
              <w:bottom w:val="single" w:sz="18" w:space="0" w:color="FFFFFF"/>
              <w:right w:val="single" w:sz="18" w:space="0" w:color="FFFFFF"/>
            </w:tcBorders>
            <w:shd w:val="clear" w:color="auto" w:fill="E6E6E6"/>
            <w:tcMar>
              <w:top w:w="0" w:type="dxa"/>
              <w:left w:w="108" w:type="dxa"/>
              <w:bottom w:w="0" w:type="dxa"/>
              <w:right w:w="108" w:type="dxa"/>
            </w:tcMar>
            <w:hideMark/>
          </w:tcPr>
          <w:p w14:paraId="76AE8729"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6</w:t>
            </w:r>
          </w:p>
        </w:tc>
        <w:tc>
          <w:tcPr>
            <w:tcW w:w="6521"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20842BC1"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Agree to the terms and conditions within the Dynamic Purchasing Agreement</w:t>
            </w:r>
          </w:p>
        </w:tc>
        <w:tc>
          <w:tcPr>
            <w:tcW w:w="1393" w:type="dxa"/>
            <w:tcBorders>
              <w:top w:val="nil"/>
              <w:left w:val="nil"/>
              <w:bottom w:val="single" w:sz="18" w:space="0" w:color="FFFFFF"/>
              <w:right w:val="single" w:sz="18" w:space="0" w:color="FFFFFF"/>
            </w:tcBorders>
            <w:shd w:val="clear" w:color="auto" w:fill="E6E6E6"/>
            <w:tcMar>
              <w:top w:w="0" w:type="dxa"/>
              <w:left w:w="108" w:type="dxa"/>
              <w:bottom w:w="0" w:type="dxa"/>
              <w:right w:w="108" w:type="dxa"/>
            </w:tcMar>
            <w:hideMark/>
          </w:tcPr>
          <w:p w14:paraId="098F4855" w14:textId="77777777" w:rsidR="009F1550" w:rsidRPr="009F1550" w:rsidRDefault="009F1550">
            <w:pPr>
              <w:spacing w:before="80" w:after="80" w:line="320" w:lineRule="atLeast"/>
              <w:rPr>
                <w:rFonts w:ascii="Arial" w:hAnsi="Arial" w:cs="Arial"/>
                <w:lang w:eastAsia="en-GB"/>
              </w:rPr>
            </w:pPr>
            <w:r w:rsidRPr="009F1550">
              <w:rPr>
                <w:rFonts w:ascii="Arial" w:hAnsi="Arial" w:cs="Arial"/>
                <w:lang w:eastAsia="en-GB"/>
              </w:rPr>
              <w:t>Pass/Fail</w:t>
            </w:r>
          </w:p>
        </w:tc>
      </w:tr>
    </w:tbl>
    <w:p w14:paraId="3DECF238" w14:textId="77777777" w:rsidR="009F1550" w:rsidRPr="009F1550" w:rsidRDefault="009F1550" w:rsidP="009F1550">
      <w:pPr>
        <w:rPr>
          <w:rFonts w:ascii="Arial" w:eastAsiaTheme="minorHAnsi" w:hAnsi="Arial" w:cs="Arial"/>
          <w:sz w:val="22"/>
          <w:szCs w:val="22"/>
        </w:rPr>
      </w:pPr>
    </w:p>
    <w:p w14:paraId="461526E9" w14:textId="4264B1E2" w:rsidR="009F1550" w:rsidRPr="009F1550" w:rsidRDefault="009F1550" w:rsidP="009F1550">
      <w:pPr>
        <w:rPr>
          <w:rFonts w:ascii="Arial" w:hAnsi="Arial" w:cs="Arial"/>
        </w:rPr>
      </w:pPr>
      <w:r w:rsidRPr="009F1550">
        <w:rPr>
          <w:rFonts w:ascii="Arial" w:hAnsi="Arial" w:cs="Arial"/>
        </w:rPr>
        <w:t xml:space="preserve">Any specific questions relating to the development and contractor opportunities can be sent to Michael Sullivan at biT Group </w:t>
      </w:r>
      <w:hyperlink r:id="rId11" w:history="1">
        <w:r w:rsidR="003F149A" w:rsidRPr="003F149A">
          <w:rPr>
            <w:rStyle w:val="Hyperlink"/>
            <w:rFonts w:ascii="Arial" w:hAnsi="Arial" w:cs="Arial"/>
            <w:color w:val="auto"/>
          </w:rPr>
          <w:t>contact@bit-group.co.uk</w:t>
        </w:r>
      </w:hyperlink>
      <w:r w:rsidRPr="009F1550">
        <w:rPr>
          <w:rFonts w:ascii="Arial" w:hAnsi="Arial" w:cs="Arial"/>
        </w:rPr>
        <w:t> </w:t>
      </w:r>
      <w:proofErr w:type="gramStart"/>
      <w:r w:rsidRPr="009F1550">
        <w:rPr>
          <w:rFonts w:ascii="Arial" w:hAnsi="Arial" w:cs="Arial"/>
        </w:rPr>
        <w:t>For</w:t>
      </w:r>
      <w:bookmarkStart w:id="0" w:name="_GoBack"/>
      <w:bookmarkEnd w:id="0"/>
      <w:proofErr w:type="gramEnd"/>
      <w:r w:rsidRPr="009F1550">
        <w:rPr>
          <w:rFonts w:ascii="Arial" w:hAnsi="Arial" w:cs="Arial"/>
        </w:rPr>
        <w:t xml:space="preserve"> any queries about signing up to the DPS, contact Dylan Lawson at biT Group</w:t>
      </w:r>
      <w:r w:rsidRPr="009F1550">
        <w:rPr>
          <w:rFonts w:ascii="Arial" w:hAnsi="Arial" w:cs="Arial"/>
          <w:lang w:eastAsia="en-GB"/>
        </w:rPr>
        <w:t xml:space="preserve"> </w:t>
      </w:r>
      <w:hyperlink r:id="rId12" w:history="1">
        <w:r w:rsidRPr="009F1550">
          <w:rPr>
            <w:rStyle w:val="Hyperlink"/>
            <w:rFonts w:ascii="Arial" w:hAnsi="Arial" w:cs="Arial"/>
            <w:color w:val="auto"/>
            <w:lang w:val="en-US" w:eastAsia="en-GB"/>
          </w:rPr>
          <w:t>dps@telford.gov.uk</w:t>
        </w:r>
      </w:hyperlink>
    </w:p>
    <w:p w14:paraId="348286F2" w14:textId="77777777" w:rsidR="009F1550" w:rsidRPr="009F1550" w:rsidRDefault="009F1550" w:rsidP="009F1550">
      <w:pPr>
        <w:spacing w:after="240"/>
        <w:rPr>
          <w:rFonts w:ascii="Arial" w:hAnsi="Arial" w:cs="Arial"/>
        </w:rPr>
      </w:pPr>
      <w:r w:rsidRPr="009F1550">
        <w:rPr>
          <w:rFonts w:ascii="Arial" w:hAnsi="Arial" w:cs="Arial"/>
        </w:rPr>
        <w:lastRenderedPageBreak/>
        <w:br/>
        <w:t xml:space="preserve">For general information about the scheme, visit </w:t>
      </w:r>
      <w:hyperlink r:id="rId13" w:tgtFrame="_blank" w:tooltip="https://www.businessnk.co.uk/our-projects/sleaford/" w:history="1">
        <w:r w:rsidRPr="009F1550">
          <w:rPr>
            <w:rStyle w:val="Hyperlink"/>
            <w:rFonts w:ascii="Arial" w:hAnsi="Arial" w:cs="Arial"/>
            <w:color w:val="auto"/>
          </w:rPr>
          <w:t>Sleaford – Business NK</w:t>
        </w:r>
      </w:hyperlink>
      <w:r w:rsidRPr="009F1550">
        <w:rPr>
          <w:rFonts w:ascii="Arial" w:hAnsi="Arial" w:cs="Arial"/>
        </w:rPr>
        <w:t xml:space="preserve"> or view more from the agent for the scheme </w:t>
      </w:r>
      <w:hyperlink r:id="rId14" w:history="1">
        <w:r w:rsidRPr="009F1550">
          <w:rPr>
            <w:rStyle w:val="Hyperlink"/>
            <w:rFonts w:ascii="Arial" w:hAnsi="Arial" w:cs="Arial"/>
            <w:color w:val="auto"/>
          </w:rPr>
          <w:t>Banks Long &amp; Co</w:t>
        </w:r>
      </w:hyperlink>
      <w:r w:rsidRPr="009F1550">
        <w:rPr>
          <w:rFonts w:ascii="Arial" w:hAnsi="Arial" w:cs="Arial"/>
        </w:rPr>
        <w:t xml:space="preserve"> </w:t>
      </w:r>
    </w:p>
    <w:p w14:paraId="217575A7" w14:textId="77777777" w:rsid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t xml:space="preserve">Already “significant interest” </w:t>
      </w:r>
      <w:proofErr w:type="gramStart"/>
      <w:r w:rsidRPr="009F1550">
        <w:rPr>
          <w:rFonts w:ascii="Arial" w:hAnsi="Arial" w:cs="Arial"/>
          <w:lang w:eastAsia="en-US"/>
        </w:rPr>
        <w:t>has been received</w:t>
      </w:r>
      <w:proofErr w:type="gramEnd"/>
      <w:r w:rsidRPr="009F1550">
        <w:rPr>
          <w:rFonts w:ascii="Arial" w:hAnsi="Arial" w:cs="Arial"/>
          <w:lang w:eastAsia="en-US"/>
        </w:rPr>
        <w:t xml:space="preserve"> for the units on the site through agent Banks Long &amp; Co. </w:t>
      </w:r>
    </w:p>
    <w:p w14:paraId="0E7FC4A3" w14:textId="10B8ED54" w:rsidR="009F1550" w:rsidRPr="009F1550" w:rsidRDefault="009F1550" w:rsidP="009F1550">
      <w:pPr>
        <w:pStyle w:val="NormalWeb"/>
        <w:shd w:val="clear" w:color="auto" w:fill="FFFFFF"/>
        <w:spacing w:before="0" w:beforeAutospacing="0" w:after="240" w:afterAutospacing="0"/>
        <w:rPr>
          <w:rFonts w:ascii="Arial" w:hAnsi="Arial" w:cs="Arial"/>
          <w:lang w:eastAsia="en-US"/>
        </w:rPr>
      </w:pPr>
      <w:r w:rsidRPr="009F1550">
        <w:rPr>
          <w:rFonts w:ascii="Arial" w:hAnsi="Arial" w:cs="Arial"/>
          <w:lang w:eastAsia="en-US"/>
        </w:rPr>
        <w:t xml:space="preserve">It follows a hybrid planning application submitted in </w:t>
      </w:r>
      <w:proofErr w:type="gramStart"/>
      <w:r w:rsidRPr="009F1550">
        <w:rPr>
          <w:rFonts w:ascii="Arial" w:hAnsi="Arial" w:cs="Arial"/>
          <w:lang w:eastAsia="en-US"/>
        </w:rPr>
        <w:t>November last year which</w:t>
      </w:r>
      <w:proofErr w:type="gramEnd"/>
      <w:r w:rsidRPr="009F1550">
        <w:rPr>
          <w:rFonts w:ascii="Arial" w:hAnsi="Arial" w:cs="Arial"/>
          <w:lang w:eastAsia="en-US"/>
        </w:rPr>
        <w:t xml:space="preserve"> sought full permission for the construction of site-wide infrastructure for Sleaford Moor Enterprise Park and outline permission for the units.</w:t>
      </w:r>
    </w:p>
    <w:p w14:paraId="56A76912" w14:textId="77777777" w:rsidR="009F1550" w:rsidRPr="009F1550" w:rsidRDefault="009F1550" w:rsidP="009F1550">
      <w:pPr>
        <w:spacing w:after="240"/>
        <w:rPr>
          <w:rFonts w:ascii="Arial" w:hAnsi="Arial" w:cs="Arial"/>
          <w:sz w:val="22"/>
          <w:szCs w:val="22"/>
        </w:rPr>
      </w:pPr>
    </w:p>
    <w:p w14:paraId="338A05BC" w14:textId="2C2F208F" w:rsidR="009C2F89" w:rsidRPr="009F1550" w:rsidRDefault="009C2F89" w:rsidP="009F1550">
      <w:pPr>
        <w:rPr>
          <w:rFonts w:ascii="Arial" w:hAnsi="Arial" w:cs="Arial"/>
        </w:rPr>
      </w:pPr>
    </w:p>
    <w:sectPr w:rsidR="009C2F89" w:rsidRPr="009F1550" w:rsidSect="004476DD">
      <w:footerReference w:type="even" r:id="rId15"/>
      <w:footerReference w:type="default" r:id="rId16"/>
      <w:pgSz w:w="12240" w:h="15840"/>
      <w:pgMar w:top="852"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5AAF" w14:textId="77777777" w:rsidR="001A0F7D" w:rsidRDefault="001A0F7D">
      <w:r>
        <w:separator/>
      </w:r>
    </w:p>
  </w:endnote>
  <w:endnote w:type="continuationSeparator" w:id="0">
    <w:p w14:paraId="103BA67E" w14:textId="77777777" w:rsidR="001A0F7D" w:rsidRDefault="001A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HTBC A+ 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10CD" w14:textId="77777777" w:rsidR="001237B9" w:rsidRDefault="001237B9" w:rsidP="004476D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3414624" w14:textId="77777777" w:rsidR="001237B9" w:rsidRDefault="001237B9" w:rsidP="004476D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6600"/>
      <w:tblLook w:val="00A0" w:firstRow="1" w:lastRow="0" w:firstColumn="1" w:lastColumn="0" w:noHBand="0" w:noVBand="0"/>
    </w:tblPr>
    <w:tblGrid>
      <w:gridCol w:w="8640"/>
    </w:tblGrid>
    <w:tr w:rsidR="001237B9" w:rsidRPr="00F6654A" w14:paraId="3B1CDAEC" w14:textId="77777777" w:rsidTr="009904BB">
      <w:trPr>
        <w:trHeight w:val="81"/>
      </w:trPr>
      <w:tc>
        <w:tcPr>
          <w:tcW w:w="8856" w:type="dxa"/>
          <w:tcBorders>
            <w:top w:val="nil"/>
            <w:left w:val="nil"/>
            <w:bottom w:val="nil"/>
            <w:right w:val="nil"/>
          </w:tcBorders>
          <w:shd w:val="clear" w:color="auto" w:fill="ED6C1F"/>
        </w:tcPr>
        <w:p w14:paraId="2C0446CC" w14:textId="77777777" w:rsidR="001237B9" w:rsidRPr="00F6654A" w:rsidRDefault="001237B9">
          <w:pPr>
            <w:pStyle w:val="Header"/>
            <w:rPr>
              <w:rFonts w:ascii="Arial" w:hAnsi="Arial"/>
              <w:b/>
              <w:sz w:val="16"/>
            </w:rPr>
          </w:pPr>
        </w:p>
      </w:tc>
    </w:tr>
  </w:tbl>
  <w:p w14:paraId="5D076F44" w14:textId="77777777" w:rsidR="001237B9" w:rsidRPr="006E4EE6" w:rsidRDefault="001237B9">
    <w:pPr>
      <w:pStyle w:val="Header"/>
      <w:rPr>
        <w:rFonts w:ascii="Arial" w:hAnsi="Arial"/>
        <w:b/>
        <w:sz w:val="16"/>
      </w:rPr>
    </w:pPr>
  </w:p>
  <w:p w14:paraId="01447440" w14:textId="1491AE03" w:rsidR="001237B9" w:rsidRPr="009904BB" w:rsidRDefault="002D5C46">
    <w:pPr>
      <w:pStyle w:val="Header"/>
      <w:rPr>
        <w:rFonts w:ascii="Arial" w:hAnsi="Arial"/>
        <w:b/>
        <w:color w:val="045E63"/>
        <w:sz w:val="16"/>
      </w:rPr>
    </w:pPr>
    <w:r>
      <w:rPr>
        <w:rFonts w:ascii="Arial" w:hAnsi="Arial"/>
        <w:b/>
        <w:color w:val="045E63"/>
        <w:sz w:val="16"/>
      </w:rPr>
      <w:t>Hannah Williams</w:t>
    </w:r>
  </w:p>
  <w:p w14:paraId="3A2C67FC" w14:textId="3A913A17" w:rsidR="001237B9" w:rsidRPr="00947F49" w:rsidRDefault="00947F49">
    <w:pPr>
      <w:pStyle w:val="Header"/>
      <w:rPr>
        <w:rFonts w:ascii="Arial" w:hAnsi="Arial"/>
        <w:color w:val="045E63"/>
        <w:sz w:val="16"/>
      </w:rPr>
    </w:pPr>
    <w:r>
      <w:rPr>
        <w:rFonts w:ascii="Arial" w:hAnsi="Arial"/>
        <w:color w:val="045E63"/>
        <w:sz w:val="16"/>
      </w:rPr>
      <w:t xml:space="preserve">Email: </w:t>
    </w:r>
    <w:r w:rsidR="002D5C46">
      <w:rPr>
        <w:rFonts w:ascii="Arial" w:hAnsi="Arial"/>
        <w:b/>
        <w:color w:val="045E63"/>
        <w:sz w:val="16"/>
      </w:rPr>
      <w:t>Hannah_WIlliams</w:t>
    </w:r>
    <w:r w:rsidR="001237B9" w:rsidRPr="00947F49">
      <w:rPr>
        <w:rFonts w:ascii="Arial" w:hAnsi="Arial"/>
        <w:b/>
        <w:color w:val="045E63"/>
        <w:sz w:val="16"/>
      </w:rPr>
      <w:t>@n-kesteven.gov.uk</w:t>
    </w:r>
  </w:p>
  <w:p w14:paraId="549DF2E2" w14:textId="66BAFDB8" w:rsidR="001237B9" w:rsidRDefault="001237B9">
    <w:pPr>
      <w:pStyle w:val="Header"/>
      <w:rPr>
        <w:rFonts w:ascii="Arial" w:hAnsi="Arial"/>
        <w:b/>
        <w:color w:val="045E63"/>
        <w:sz w:val="16"/>
      </w:rPr>
    </w:pPr>
    <w:r w:rsidRPr="00947F49">
      <w:rPr>
        <w:rFonts w:ascii="Arial" w:hAnsi="Arial"/>
        <w:color w:val="045E63"/>
        <w:sz w:val="16"/>
      </w:rPr>
      <w:t xml:space="preserve">Direct line: </w:t>
    </w:r>
    <w:r w:rsidRPr="00947F49">
      <w:rPr>
        <w:rFonts w:ascii="Arial" w:hAnsi="Arial"/>
        <w:b/>
        <w:color w:val="045E63"/>
        <w:sz w:val="16"/>
      </w:rPr>
      <w:t>01529 308</w:t>
    </w:r>
    <w:r w:rsidR="002D5C46">
      <w:rPr>
        <w:rFonts w:ascii="Arial" w:hAnsi="Arial"/>
        <w:b/>
        <w:color w:val="045E63"/>
        <w:sz w:val="16"/>
      </w:rPr>
      <w:t>167</w:t>
    </w:r>
  </w:p>
  <w:p w14:paraId="668FC187" w14:textId="7699078D" w:rsidR="00122187" w:rsidRPr="00122187" w:rsidRDefault="00122187" w:rsidP="00122187">
    <w:pPr>
      <w:pStyle w:val="Header"/>
      <w:rPr>
        <w:rStyle w:val="PageNumber"/>
        <w:rFonts w:ascii="Arial" w:hAnsi="Arial"/>
        <w:b/>
        <w:color w:val="045E63"/>
        <w:sz w:val="16"/>
      </w:rPr>
    </w:pPr>
    <w:r w:rsidRPr="00122187">
      <w:rPr>
        <w:rFonts w:ascii="Arial" w:hAnsi="Arial"/>
        <w:color w:val="045E63"/>
        <w:sz w:val="16"/>
      </w:rPr>
      <w:t>Mobile:</w:t>
    </w:r>
    <w:r>
      <w:rPr>
        <w:rFonts w:ascii="Arial" w:hAnsi="Arial"/>
        <w:b/>
        <w:color w:val="045E63"/>
        <w:sz w:val="16"/>
      </w:rPr>
      <w:t xml:space="preserve"> </w:t>
    </w:r>
    <w:r w:rsidR="002D5C46">
      <w:rPr>
        <w:rFonts w:ascii="Arial" w:hAnsi="Arial"/>
        <w:b/>
        <w:color w:val="045E63"/>
        <w:sz w:val="16"/>
      </w:rPr>
      <w:t>07500 102116</w:t>
    </w:r>
  </w:p>
  <w:p w14:paraId="4CF878F6" w14:textId="77777777" w:rsidR="00122187" w:rsidRPr="00947F49" w:rsidRDefault="00122187">
    <w:pPr>
      <w:pStyle w:val="Header"/>
      <w:rPr>
        <w:rFonts w:ascii="Arial" w:hAnsi="Arial"/>
        <w:color w:val="045E63"/>
        <w:sz w:val="16"/>
      </w:rPr>
    </w:pPr>
  </w:p>
  <w:p w14:paraId="4A7BA038" w14:textId="77777777" w:rsidR="001237B9" w:rsidRPr="009904BB" w:rsidRDefault="001237B9" w:rsidP="004476DD">
    <w:pPr>
      <w:pStyle w:val="Footer"/>
      <w:rPr>
        <w:rStyle w:val="PageNumber"/>
        <w:rFonts w:ascii="Arial" w:hAnsi="Arial"/>
        <w:color w:val="045E63"/>
        <w:sz w:val="16"/>
        <w:lang w:val="en-US"/>
      </w:rPr>
    </w:pPr>
  </w:p>
  <w:p w14:paraId="03BE4F33" w14:textId="18CE0B0E" w:rsidR="001237B9" w:rsidRPr="009904BB" w:rsidRDefault="001237B9" w:rsidP="004476DD">
    <w:pPr>
      <w:pStyle w:val="Footer"/>
      <w:rPr>
        <w:rStyle w:val="PageNumber"/>
        <w:color w:val="045E63"/>
        <w:sz w:val="16"/>
        <w:lang w:val="en-US"/>
      </w:rPr>
    </w:pPr>
    <w:r w:rsidRPr="009904BB">
      <w:rPr>
        <w:rStyle w:val="PageNumber"/>
        <w:rFonts w:ascii="Arial" w:hAnsi="Arial"/>
        <w:color w:val="045E63"/>
        <w:sz w:val="16"/>
        <w:lang w:val="en-US"/>
      </w:rPr>
      <w:t xml:space="preserve">Page </w:t>
    </w:r>
    <w:r w:rsidRPr="009904BB">
      <w:rPr>
        <w:rStyle w:val="PageNumber"/>
        <w:color w:val="045E63"/>
        <w:sz w:val="16"/>
        <w:lang w:val="en-US"/>
      </w:rPr>
      <w:fldChar w:fldCharType="begin"/>
    </w:r>
    <w:r w:rsidRPr="009904BB">
      <w:rPr>
        <w:rStyle w:val="PageNumber"/>
        <w:rFonts w:ascii="Arial" w:hAnsi="Arial"/>
        <w:color w:val="045E63"/>
        <w:sz w:val="16"/>
        <w:lang w:val="en-US"/>
      </w:rPr>
      <w:instrText xml:space="preserve"> PAGE </w:instrText>
    </w:r>
    <w:r w:rsidRPr="009904BB">
      <w:rPr>
        <w:rStyle w:val="PageNumber"/>
        <w:color w:val="045E63"/>
        <w:sz w:val="16"/>
        <w:lang w:val="en-US"/>
      </w:rPr>
      <w:fldChar w:fldCharType="separate"/>
    </w:r>
    <w:r w:rsidR="003F149A">
      <w:rPr>
        <w:rStyle w:val="PageNumber"/>
        <w:rFonts w:ascii="Arial" w:hAnsi="Arial"/>
        <w:noProof/>
        <w:color w:val="045E63"/>
        <w:sz w:val="16"/>
        <w:lang w:val="en-US"/>
      </w:rPr>
      <w:t>4</w:t>
    </w:r>
    <w:r w:rsidRPr="009904BB">
      <w:rPr>
        <w:rStyle w:val="PageNumber"/>
        <w:color w:val="045E63"/>
        <w:sz w:val="16"/>
        <w:lang w:val="en-US"/>
      </w:rPr>
      <w:fldChar w:fldCharType="end"/>
    </w:r>
    <w:r w:rsidRPr="009904BB">
      <w:rPr>
        <w:rStyle w:val="PageNumber"/>
        <w:rFonts w:ascii="Arial" w:hAnsi="Arial"/>
        <w:color w:val="045E63"/>
        <w:sz w:val="16"/>
        <w:lang w:val="en-US"/>
      </w:rPr>
      <w:t xml:space="preserve"> of </w:t>
    </w:r>
    <w:r w:rsidRPr="009904BB">
      <w:rPr>
        <w:rStyle w:val="PageNumber"/>
        <w:color w:val="045E63"/>
        <w:sz w:val="16"/>
        <w:lang w:val="en-US"/>
      </w:rPr>
      <w:fldChar w:fldCharType="begin"/>
    </w:r>
    <w:r w:rsidRPr="009904BB">
      <w:rPr>
        <w:rStyle w:val="PageNumber"/>
        <w:rFonts w:ascii="Arial" w:hAnsi="Arial"/>
        <w:color w:val="045E63"/>
        <w:sz w:val="16"/>
        <w:lang w:val="en-US"/>
      </w:rPr>
      <w:instrText xml:space="preserve"> NUMPAGES </w:instrText>
    </w:r>
    <w:r w:rsidRPr="009904BB">
      <w:rPr>
        <w:rStyle w:val="PageNumber"/>
        <w:color w:val="045E63"/>
        <w:sz w:val="16"/>
        <w:lang w:val="en-US"/>
      </w:rPr>
      <w:fldChar w:fldCharType="separate"/>
    </w:r>
    <w:r w:rsidR="003F149A">
      <w:rPr>
        <w:rStyle w:val="PageNumber"/>
        <w:rFonts w:ascii="Arial" w:hAnsi="Arial"/>
        <w:noProof/>
        <w:color w:val="045E63"/>
        <w:sz w:val="16"/>
        <w:lang w:val="en-US"/>
      </w:rPr>
      <w:t>4</w:t>
    </w:r>
    <w:r w:rsidRPr="009904BB">
      <w:rPr>
        <w:rStyle w:val="PageNumber"/>
        <w:color w:val="045E63"/>
        <w:sz w:val="16"/>
        <w:lang w:val="en-US"/>
      </w:rPr>
      <w:fldChar w:fldCharType="end"/>
    </w:r>
  </w:p>
  <w:p w14:paraId="36F11C9D" w14:textId="77777777" w:rsidR="001237B9" w:rsidRPr="006E4EE6" w:rsidRDefault="001237B9" w:rsidP="004476DD">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038E" w14:textId="77777777" w:rsidR="001A0F7D" w:rsidRDefault="001A0F7D">
      <w:r>
        <w:separator/>
      </w:r>
    </w:p>
  </w:footnote>
  <w:footnote w:type="continuationSeparator" w:id="0">
    <w:p w14:paraId="2107B331" w14:textId="77777777" w:rsidR="001A0F7D" w:rsidRDefault="001A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249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030D4"/>
    <w:multiLevelType w:val="hybridMultilevel"/>
    <w:tmpl w:val="EB942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F772D"/>
    <w:multiLevelType w:val="multilevel"/>
    <w:tmpl w:val="8D7E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D4765"/>
    <w:multiLevelType w:val="hybridMultilevel"/>
    <w:tmpl w:val="5538C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02A64"/>
    <w:multiLevelType w:val="hybridMultilevel"/>
    <w:tmpl w:val="F988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572D5"/>
    <w:multiLevelType w:val="hybridMultilevel"/>
    <w:tmpl w:val="30407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337CA2"/>
    <w:multiLevelType w:val="hybridMultilevel"/>
    <w:tmpl w:val="C61C94EC"/>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1B8771F"/>
    <w:multiLevelType w:val="hybridMultilevel"/>
    <w:tmpl w:val="CA8CF7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74"/>
    <w:rsid w:val="00000630"/>
    <w:rsid w:val="00000C75"/>
    <w:rsid w:val="00002A34"/>
    <w:rsid w:val="000061C1"/>
    <w:rsid w:val="00023D0E"/>
    <w:rsid w:val="00025D18"/>
    <w:rsid w:val="00035DD6"/>
    <w:rsid w:val="00043501"/>
    <w:rsid w:val="000745F6"/>
    <w:rsid w:val="00091C84"/>
    <w:rsid w:val="000A3AE0"/>
    <w:rsid w:val="000C5EC6"/>
    <w:rsid w:val="000F37C9"/>
    <w:rsid w:val="001023CB"/>
    <w:rsid w:val="00105DE5"/>
    <w:rsid w:val="00111734"/>
    <w:rsid w:val="00122187"/>
    <w:rsid w:val="001237B9"/>
    <w:rsid w:val="00125398"/>
    <w:rsid w:val="001323B6"/>
    <w:rsid w:val="0013308E"/>
    <w:rsid w:val="0013723D"/>
    <w:rsid w:val="001453F9"/>
    <w:rsid w:val="00150554"/>
    <w:rsid w:val="00181D89"/>
    <w:rsid w:val="001825AF"/>
    <w:rsid w:val="001A0F7D"/>
    <w:rsid w:val="001A318C"/>
    <w:rsid w:val="001B4384"/>
    <w:rsid w:val="001C5BBF"/>
    <w:rsid w:val="001D34CE"/>
    <w:rsid w:val="001D45EA"/>
    <w:rsid w:val="001E177B"/>
    <w:rsid w:val="00204B89"/>
    <w:rsid w:val="00204F37"/>
    <w:rsid w:val="00211135"/>
    <w:rsid w:val="0021414D"/>
    <w:rsid w:val="002152CE"/>
    <w:rsid w:val="00230A5F"/>
    <w:rsid w:val="002333D3"/>
    <w:rsid w:val="002346F2"/>
    <w:rsid w:val="00237838"/>
    <w:rsid w:val="00250F2F"/>
    <w:rsid w:val="00286146"/>
    <w:rsid w:val="002A04E0"/>
    <w:rsid w:val="002C4E90"/>
    <w:rsid w:val="002D5C46"/>
    <w:rsid w:val="002D7BFF"/>
    <w:rsid w:val="002E2F5A"/>
    <w:rsid w:val="002F1A36"/>
    <w:rsid w:val="0034560E"/>
    <w:rsid w:val="0036562E"/>
    <w:rsid w:val="003711AE"/>
    <w:rsid w:val="003717F5"/>
    <w:rsid w:val="0037441A"/>
    <w:rsid w:val="00375FCF"/>
    <w:rsid w:val="003D7974"/>
    <w:rsid w:val="003F149A"/>
    <w:rsid w:val="003F1951"/>
    <w:rsid w:val="003F63FC"/>
    <w:rsid w:val="0041451F"/>
    <w:rsid w:val="00430AB5"/>
    <w:rsid w:val="00431CC7"/>
    <w:rsid w:val="004476DD"/>
    <w:rsid w:val="00466DE5"/>
    <w:rsid w:val="00481E68"/>
    <w:rsid w:val="004B69F6"/>
    <w:rsid w:val="004C3319"/>
    <w:rsid w:val="004C4510"/>
    <w:rsid w:val="004D3CF5"/>
    <w:rsid w:val="004E0EDE"/>
    <w:rsid w:val="00504D66"/>
    <w:rsid w:val="00556761"/>
    <w:rsid w:val="005B101B"/>
    <w:rsid w:val="005D4D14"/>
    <w:rsid w:val="005E3CB3"/>
    <w:rsid w:val="005E3D4F"/>
    <w:rsid w:val="005E4DDE"/>
    <w:rsid w:val="00610713"/>
    <w:rsid w:val="006109D3"/>
    <w:rsid w:val="006224FD"/>
    <w:rsid w:val="00634B74"/>
    <w:rsid w:val="006604B4"/>
    <w:rsid w:val="00672488"/>
    <w:rsid w:val="006738EA"/>
    <w:rsid w:val="006B47E3"/>
    <w:rsid w:val="006B6180"/>
    <w:rsid w:val="006B7180"/>
    <w:rsid w:val="006C17AF"/>
    <w:rsid w:val="0070257B"/>
    <w:rsid w:val="00704A73"/>
    <w:rsid w:val="00707AC0"/>
    <w:rsid w:val="00716E1C"/>
    <w:rsid w:val="007211A5"/>
    <w:rsid w:val="007234EC"/>
    <w:rsid w:val="00743138"/>
    <w:rsid w:val="00750992"/>
    <w:rsid w:val="007531D8"/>
    <w:rsid w:val="00782A88"/>
    <w:rsid w:val="007831F1"/>
    <w:rsid w:val="007A3EBD"/>
    <w:rsid w:val="007D7B7A"/>
    <w:rsid w:val="007D7F8D"/>
    <w:rsid w:val="007F3C50"/>
    <w:rsid w:val="00801B06"/>
    <w:rsid w:val="00832560"/>
    <w:rsid w:val="00842087"/>
    <w:rsid w:val="008460B9"/>
    <w:rsid w:val="00864BF3"/>
    <w:rsid w:val="00872D4B"/>
    <w:rsid w:val="00883A77"/>
    <w:rsid w:val="00886BC9"/>
    <w:rsid w:val="008918CF"/>
    <w:rsid w:val="008D380F"/>
    <w:rsid w:val="008D77BE"/>
    <w:rsid w:val="0090782E"/>
    <w:rsid w:val="00931EC4"/>
    <w:rsid w:val="00947F49"/>
    <w:rsid w:val="009559F6"/>
    <w:rsid w:val="009573BB"/>
    <w:rsid w:val="00960279"/>
    <w:rsid w:val="009646B4"/>
    <w:rsid w:val="009851D6"/>
    <w:rsid w:val="009904BB"/>
    <w:rsid w:val="009A673A"/>
    <w:rsid w:val="009C0270"/>
    <w:rsid w:val="009C2F89"/>
    <w:rsid w:val="009E514E"/>
    <w:rsid w:val="009F1550"/>
    <w:rsid w:val="00A128B8"/>
    <w:rsid w:val="00A3284B"/>
    <w:rsid w:val="00A34137"/>
    <w:rsid w:val="00A41D57"/>
    <w:rsid w:val="00A61753"/>
    <w:rsid w:val="00A645F5"/>
    <w:rsid w:val="00A87C50"/>
    <w:rsid w:val="00A95826"/>
    <w:rsid w:val="00AA2199"/>
    <w:rsid w:val="00AD0642"/>
    <w:rsid w:val="00AE0C1F"/>
    <w:rsid w:val="00AE1D08"/>
    <w:rsid w:val="00AE6912"/>
    <w:rsid w:val="00AF44DA"/>
    <w:rsid w:val="00B15C1F"/>
    <w:rsid w:val="00B32087"/>
    <w:rsid w:val="00B527A8"/>
    <w:rsid w:val="00B64CF7"/>
    <w:rsid w:val="00B86421"/>
    <w:rsid w:val="00BA79A6"/>
    <w:rsid w:val="00BA7D51"/>
    <w:rsid w:val="00BB4E48"/>
    <w:rsid w:val="00BC45BC"/>
    <w:rsid w:val="00BC5B27"/>
    <w:rsid w:val="00BD17EC"/>
    <w:rsid w:val="00BD5EAD"/>
    <w:rsid w:val="00BE0E8D"/>
    <w:rsid w:val="00BF4DB1"/>
    <w:rsid w:val="00BF63C3"/>
    <w:rsid w:val="00C02564"/>
    <w:rsid w:val="00C14B52"/>
    <w:rsid w:val="00C20C64"/>
    <w:rsid w:val="00C57D02"/>
    <w:rsid w:val="00C710F2"/>
    <w:rsid w:val="00C73D00"/>
    <w:rsid w:val="00C7771D"/>
    <w:rsid w:val="00C8264F"/>
    <w:rsid w:val="00C84B0E"/>
    <w:rsid w:val="00C87EF7"/>
    <w:rsid w:val="00C96C3F"/>
    <w:rsid w:val="00CB483E"/>
    <w:rsid w:val="00CB781D"/>
    <w:rsid w:val="00CC6218"/>
    <w:rsid w:val="00CF43E0"/>
    <w:rsid w:val="00D1680E"/>
    <w:rsid w:val="00D329CC"/>
    <w:rsid w:val="00D80E8C"/>
    <w:rsid w:val="00D976BC"/>
    <w:rsid w:val="00DA146E"/>
    <w:rsid w:val="00DA4914"/>
    <w:rsid w:val="00DB3D19"/>
    <w:rsid w:val="00DC260A"/>
    <w:rsid w:val="00DD2D47"/>
    <w:rsid w:val="00DD2EC8"/>
    <w:rsid w:val="00DF06F4"/>
    <w:rsid w:val="00DF0C94"/>
    <w:rsid w:val="00DF45BD"/>
    <w:rsid w:val="00E06494"/>
    <w:rsid w:val="00E24383"/>
    <w:rsid w:val="00E3164B"/>
    <w:rsid w:val="00E43C9F"/>
    <w:rsid w:val="00E6666D"/>
    <w:rsid w:val="00E8466E"/>
    <w:rsid w:val="00E847F5"/>
    <w:rsid w:val="00E86963"/>
    <w:rsid w:val="00E8768B"/>
    <w:rsid w:val="00E930BA"/>
    <w:rsid w:val="00E972CE"/>
    <w:rsid w:val="00EA2919"/>
    <w:rsid w:val="00EA7EDE"/>
    <w:rsid w:val="00ED250F"/>
    <w:rsid w:val="00ED6414"/>
    <w:rsid w:val="00EF122C"/>
    <w:rsid w:val="00EF5898"/>
    <w:rsid w:val="00F0050E"/>
    <w:rsid w:val="00F0404A"/>
    <w:rsid w:val="00F12127"/>
    <w:rsid w:val="00F13721"/>
    <w:rsid w:val="00F20D72"/>
    <w:rsid w:val="00F3424C"/>
    <w:rsid w:val="00F461A1"/>
    <w:rsid w:val="00F55037"/>
    <w:rsid w:val="00F6654A"/>
    <w:rsid w:val="00F70662"/>
    <w:rsid w:val="00F91561"/>
    <w:rsid w:val="00F968C3"/>
    <w:rsid w:val="00F974C0"/>
    <w:rsid w:val="00FD563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04D1653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4EE6"/>
    <w:pPr>
      <w:tabs>
        <w:tab w:val="center" w:pos="4320"/>
        <w:tab w:val="right" w:pos="8640"/>
      </w:tabs>
    </w:pPr>
  </w:style>
  <w:style w:type="paragraph" w:styleId="Footer">
    <w:name w:val="footer"/>
    <w:basedOn w:val="Normal"/>
    <w:link w:val="FooterChar"/>
    <w:semiHidden/>
    <w:rsid w:val="006E4EE6"/>
    <w:pPr>
      <w:tabs>
        <w:tab w:val="center" w:pos="4320"/>
        <w:tab w:val="right" w:pos="8640"/>
      </w:tabs>
    </w:pPr>
  </w:style>
  <w:style w:type="table" w:styleId="TableGrid">
    <w:name w:val="Table Grid"/>
    <w:basedOn w:val="TableNormal"/>
    <w:rsid w:val="006E4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4EE6"/>
    <w:rPr>
      <w:color w:val="0000FF"/>
      <w:u w:val="single"/>
    </w:rPr>
  </w:style>
  <w:style w:type="character" w:styleId="PageNumber">
    <w:name w:val="page number"/>
    <w:basedOn w:val="DefaultParagraphFont"/>
    <w:rsid w:val="006E4EE6"/>
  </w:style>
  <w:style w:type="paragraph" w:styleId="NormalWeb">
    <w:name w:val="Normal (Web)"/>
    <w:basedOn w:val="Normal"/>
    <w:uiPriority w:val="99"/>
    <w:rsid w:val="00AF44DA"/>
    <w:pPr>
      <w:spacing w:before="100" w:beforeAutospacing="1" w:after="100" w:afterAutospacing="1"/>
    </w:pPr>
    <w:rPr>
      <w:lang w:eastAsia="en-GB"/>
    </w:rPr>
  </w:style>
  <w:style w:type="paragraph" w:customStyle="1" w:styleId="Style1">
    <w:name w:val="Style1"/>
    <w:basedOn w:val="Normal"/>
    <w:link w:val="Style1Char"/>
    <w:qFormat/>
    <w:rsid w:val="00AF44DA"/>
    <w:pPr>
      <w:spacing w:after="120"/>
    </w:pPr>
    <w:rPr>
      <w:rFonts w:ascii="Arial" w:hAnsi="Arial"/>
      <w:sz w:val="20"/>
      <w:szCs w:val="20"/>
      <w:lang w:eastAsia="de-DE"/>
    </w:rPr>
  </w:style>
  <w:style w:type="character" w:customStyle="1" w:styleId="Style1Char">
    <w:name w:val="Style1 Char"/>
    <w:link w:val="Style1"/>
    <w:rsid w:val="00AF44DA"/>
    <w:rPr>
      <w:rFonts w:ascii="Arial" w:hAnsi="Arial"/>
      <w:lang w:val="en-GB" w:eastAsia="de-DE" w:bidi="ar-SA"/>
    </w:rPr>
  </w:style>
  <w:style w:type="character" w:customStyle="1" w:styleId="FooterChar">
    <w:name w:val="Footer Char"/>
    <w:basedOn w:val="DefaultParagraphFont"/>
    <w:link w:val="Footer"/>
    <w:semiHidden/>
    <w:rsid w:val="00122187"/>
    <w:rPr>
      <w:sz w:val="24"/>
      <w:szCs w:val="24"/>
      <w:lang w:val="en-GB"/>
    </w:rPr>
  </w:style>
  <w:style w:type="paragraph" w:customStyle="1" w:styleId="Default">
    <w:name w:val="Default"/>
    <w:basedOn w:val="Normal"/>
    <w:rsid w:val="000F37C9"/>
    <w:pPr>
      <w:autoSpaceDE w:val="0"/>
      <w:autoSpaceDN w:val="0"/>
    </w:pPr>
    <w:rPr>
      <w:rFonts w:ascii="WHTBC A+ Gill Sans" w:eastAsiaTheme="minorHAnsi" w:hAnsi="WHTBC A+ Gill Sans"/>
      <w:color w:val="000000"/>
      <w:lang w:eastAsia="en-GB"/>
    </w:rPr>
  </w:style>
  <w:style w:type="character" w:customStyle="1" w:styleId="skimlinks-unlinked">
    <w:name w:val="skimlinks-unlinked"/>
    <w:basedOn w:val="DefaultParagraphFont"/>
    <w:rsid w:val="00C20C64"/>
  </w:style>
  <w:style w:type="paragraph" w:styleId="ListParagraph">
    <w:name w:val="List Paragraph"/>
    <w:basedOn w:val="Normal"/>
    <w:uiPriority w:val="34"/>
    <w:qFormat/>
    <w:rsid w:val="00FF61E0"/>
    <w:pPr>
      <w:ind w:left="720"/>
      <w:contextualSpacing/>
    </w:pPr>
  </w:style>
  <w:style w:type="character" w:styleId="Strong">
    <w:name w:val="Strong"/>
    <w:basedOn w:val="DefaultParagraphFont"/>
    <w:uiPriority w:val="22"/>
    <w:qFormat/>
    <w:rsid w:val="009F1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7792">
      <w:bodyDiv w:val="1"/>
      <w:marLeft w:val="0"/>
      <w:marRight w:val="0"/>
      <w:marTop w:val="0"/>
      <w:marBottom w:val="0"/>
      <w:divBdr>
        <w:top w:val="none" w:sz="0" w:space="0" w:color="auto"/>
        <w:left w:val="none" w:sz="0" w:space="0" w:color="auto"/>
        <w:bottom w:val="none" w:sz="0" w:space="0" w:color="auto"/>
        <w:right w:val="none" w:sz="0" w:space="0" w:color="auto"/>
      </w:divBdr>
    </w:div>
    <w:div w:id="354037216">
      <w:bodyDiv w:val="1"/>
      <w:marLeft w:val="0"/>
      <w:marRight w:val="0"/>
      <w:marTop w:val="0"/>
      <w:marBottom w:val="0"/>
      <w:divBdr>
        <w:top w:val="none" w:sz="0" w:space="0" w:color="auto"/>
        <w:left w:val="none" w:sz="0" w:space="0" w:color="auto"/>
        <w:bottom w:val="none" w:sz="0" w:space="0" w:color="auto"/>
        <w:right w:val="none" w:sz="0" w:space="0" w:color="auto"/>
      </w:divBdr>
    </w:div>
    <w:div w:id="660045573">
      <w:bodyDiv w:val="1"/>
      <w:marLeft w:val="0"/>
      <w:marRight w:val="0"/>
      <w:marTop w:val="0"/>
      <w:marBottom w:val="0"/>
      <w:divBdr>
        <w:top w:val="none" w:sz="0" w:space="0" w:color="auto"/>
        <w:left w:val="none" w:sz="0" w:space="0" w:color="auto"/>
        <w:bottom w:val="none" w:sz="0" w:space="0" w:color="auto"/>
        <w:right w:val="none" w:sz="0" w:space="0" w:color="auto"/>
      </w:divBdr>
    </w:div>
    <w:div w:id="672755806">
      <w:bodyDiv w:val="1"/>
      <w:marLeft w:val="0"/>
      <w:marRight w:val="0"/>
      <w:marTop w:val="0"/>
      <w:marBottom w:val="0"/>
      <w:divBdr>
        <w:top w:val="none" w:sz="0" w:space="0" w:color="auto"/>
        <w:left w:val="none" w:sz="0" w:space="0" w:color="auto"/>
        <w:bottom w:val="none" w:sz="0" w:space="0" w:color="auto"/>
        <w:right w:val="none" w:sz="0" w:space="0" w:color="auto"/>
      </w:divBdr>
    </w:div>
    <w:div w:id="815685357">
      <w:bodyDiv w:val="1"/>
      <w:marLeft w:val="0"/>
      <w:marRight w:val="0"/>
      <w:marTop w:val="0"/>
      <w:marBottom w:val="0"/>
      <w:divBdr>
        <w:top w:val="none" w:sz="0" w:space="0" w:color="auto"/>
        <w:left w:val="none" w:sz="0" w:space="0" w:color="auto"/>
        <w:bottom w:val="none" w:sz="0" w:space="0" w:color="auto"/>
        <w:right w:val="none" w:sz="0" w:space="0" w:color="auto"/>
      </w:divBdr>
    </w:div>
    <w:div w:id="850099338">
      <w:bodyDiv w:val="1"/>
      <w:marLeft w:val="0"/>
      <w:marRight w:val="0"/>
      <w:marTop w:val="0"/>
      <w:marBottom w:val="0"/>
      <w:divBdr>
        <w:top w:val="none" w:sz="0" w:space="0" w:color="auto"/>
        <w:left w:val="none" w:sz="0" w:space="0" w:color="auto"/>
        <w:bottom w:val="none" w:sz="0" w:space="0" w:color="auto"/>
        <w:right w:val="none" w:sz="0" w:space="0" w:color="auto"/>
      </w:divBdr>
    </w:div>
    <w:div w:id="852188349">
      <w:bodyDiv w:val="1"/>
      <w:marLeft w:val="0"/>
      <w:marRight w:val="0"/>
      <w:marTop w:val="0"/>
      <w:marBottom w:val="0"/>
      <w:divBdr>
        <w:top w:val="none" w:sz="0" w:space="0" w:color="auto"/>
        <w:left w:val="none" w:sz="0" w:space="0" w:color="auto"/>
        <w:bottom w:val="none" w:sz="0" w:space="0" w:color="auto"/>
        <w:right w:val="none" w:sz="0" w:space="0" w:color="auto"/>
      </w:divBdr>
    </w:div>
    <w:div w:id="954097643">
      <w:bodyDiv w:val="1"/>
      <w:marLeft w:val="0"/>
      <w:marRight w:val="0"/>
      <w:marTop w:val="0"/>
      <w:marBottom w:val="0"/>
      <w:divBdr>
        <w:top w:val="none" w:sz="0" w:space="0" w:color="auto"/>
        <w:left w:val="none" w:sz="0" w:space="0" w:color="auto"/>
        <w:bottom w:val="none" w:sz="0" w:space="0" w:color="auto"/>
        <w:right w:val="none" w:sz="0" w:space="0" w:color="auto"/>
      </w:divBdr>
    </w:div>
    <w:div w:id="1713191223">
      <w:bodyDiv w:val="1"/>
      <w:marLeft w:val="0"/>
      <w:marRight w:val="0"/>
      <w:marTop w:val="0"/>
      <w:marBottom w:val="0"/>
      <w:divBdr>
        <w:top w:val="none" w:sz="0" w:space="0" w:color="auto"/>
        <w:left w:val="none" w:sz="0" w:space="0" w:color="auto"/>
        <w:bottom w:val="none" w:sz="0" w:space="0" w:color="auto"/>
        <w:right w:val="none" w:sz="0" w:space="0" w:color="auto"/>
      </w:divBdr>
    </w:div>
    <w:div w:id="2077193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ta-esourcing.com/tenders/UK-UK-Telford:-Building-construction-work./P34FZW5FM8" TargetMode="External"/><Relationship Id="rId13" Type="http://schemas.openxmlformats.org/officeDocument/2006/relationships/hyperlink" Target="https://www.businessnk.co.uk/our-projects/sleafor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s@telford.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bit-group.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br01.safelinks.protection.outlook.com/?url=https%3A%2F%2Fwww.delta-esourcing.com%2F&amp;data=04%7C01%7CElena.Taylor%40lincolnshire.gov.uk%7C712b2f910ab74663561308d91459e3fe%7Cb4e05b92f8ce46b59b2499ba5c11e5e9%7C0%7C0%7C637563198591281195%7CUnknown%7CTWFpbGZsb3d8eyJWIjoiMC4wLjAwMDAiLCJQIjoiV2luMzIiLCJBTiI6Ik1haWwiLCJXVCI6Mn0%3D%7C1000&amp;sdata=W8iBfpwHzdlymxd6jiqjvaKrssqLNuiTOF%2Fds8V6kj0%3D&amp;reserved=0" TargetMode="External"/><Relationship Id="rId4" Type="http://schemas.openxmlformats.org/officeDocument/2006/relationships/webSettings" Target="webSettings.xml"/><Relationship Id="rId9" Type="http://schemas.openxmlformats.org/officeDocument/2006/relationships/hyperlink" Target="https://www.delta-esourcing.com/" TargetMode="External"/><Relationship Id="rId14" Type="http://schemas.openxmlformats.org/officeDocument/2006/relationships/hyperlink" Target="http://www.banksl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NKDC</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Rachel</dc:creator>
  <cp:keywords/>
  <cp:lastModifiedBy>Hannah Williams</cp:lastModifiedBy>
  <cp:revision>3</cp:revision>
  <cp:lastPrinted>2017-07-12T14:21:00Z</cp:lastPrinted>
  <dcterms:created xsi:type="dcterms:W3CDTF">2021-05-12T16:27:00Z</dcterms:created>
  <dcterms:modified xsi:type="dcterms:W3CDTF">2021-05-13T07:49:00Z</dcterms:modified>
</cp:coreProperties>
</file>